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rozwiązanie GenAI Protection, które pozwala ograniczyć ryzyko związane z „Shadow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zapory sieciowej w połączeniu z platformą AnyInsight.ai zapewniają małym i średnim przedsiębiorstwom bezpieczny, kontrolowany dostęp do aplikacji GenAI.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wprowadzenie nowego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GenAI Protection</w:t>
      </w:r>
      <w:r>
        <w:rPr>
          <w:rFonts w:ascii="calibri" w:hAnsi="calibri" w:eastAsia="calibri" w:cs="calibri"/>
          <w:sz w:val="24"/>
          <w:szCs w:val="24"/>
        </w:rPr>
        <w:t xml:space="preserve">. Zostało zaprojektowane, aby pomóc </w:t>
      </w:r>
      <w:r>
        <w:rPr>
          <w:rFonts w:ascii="calibri" w:hAnsi="calibri" w:eastAsia="calibri" w:cs="calibri"/>
          <w:sz w:val="24"/>
          <w:szCs w:val="24"/>
          <w:b/>
        </w:rPr>
        <w:t xml:space="preserve">małym i średnim przedsiębiorstwom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dostawcom usług zarządzanych (MSP)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wdrażaniu technologii generatywnej sztucznej inteligencji</w:t>
      </w:r>
      <w:r>
        <w:rPr>
          <w:rFonts w:ascii="calibri" w:hAnsi="calibri" w:eastAsia="calibri" w:cs="calibri"/>
          <w:sz w:val="24"/>
          <w:szCs w:val="24"/>
        </w:rPr>
        <w:t xml:space="preserve">.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funkcje zapory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sieciowej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nową współpracą</w:t>
      </w:r>
      <w:r>
        <w:rPr>
          <w:rFonts w:ascii="calibri" w:hAnsi="calibri" w:eastAsia="calibri" w:cs="calibri"/>
          <w:sz w:val="24"/>
          <w:szCs w:val="24"/>
        </w:rPr>
        <w:t xml:space="preserve"> ze start-upem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  <w:b/>
        </w:rPr>
        <w:t xml:space="preserve">HEARTBOT AI Inc. (Heartbot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umożliwia firmom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monitorowanie, kontrolowanie i zabezpieczanie wykorzystania GenAI</w:t>
      </w:r>
      <w:r>
        <w:rPr>
          <w:rFonts w:ascii="calibri" w:hAnsi="calibri" w:eastAsia="calibri" w:cs="calibri"/>
          <w:sz w:val="24"/>
          <w:szCs w:val="24"/>
        </w:rPr>
        <w:t xml:space="preserve"> przy jednoczesnym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utrzymaniu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</w:t>
      </w:r>
      <w:r>
        <w:rPr>
          <w:rFonts w:ascii="calibri" w:hAnsi="calibri" w:eastAsia="calibri" w:cs="calibri"/>
          <w:sz w:val="24"/>
          <w:szCs w:val="24"/>
          <w:b/>
        </w:rPr>
        <w:t xml:space="preserve">z przyspieszeniem wdrażania GenAI w miejscach pracy</w:t>
      </w:r>
      <w:r>
        <w:rPr>
          <w:rFonts w:ascii="calibri" w:hAnsi="calibri" w:eastAsia="calibri" w:cs="calibri"/>
          <w:sz w:val="24"/>
          <w:szCs w:val="24"/>
        </w:rPr>
        <w:t xml:space="preserve"> wiele organizacji boryka się z problemem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utrzymania kontroli </w:t>
      </w:r>
      <w:r>
        <w:rPr>
          <w:rFonts w:ascii="calibri" w:hAnsi="calibri" w:eastAsia="calibri" w:cs="calibri"/>
          <w:sz w:val="24"/>
          <w:szCs w:val="24"/>
        </w:rPr>
        <w:t xml:space="preserve">nad jej wykorzystaniem.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Niedawna 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44% pracowników korzystało ze sztucznej inteligencji w sposób niezgodny z polityką firmy</w:t>
      </w:r>
      <w:r>
        <w:rPr>
          <w:rFonts w:ascii="calibri" w:hAnsi="calibri" w:eastAsia="calibri" w:cs="calibri"/>
          <w:sz w:val="24"/>
          <w:szCs w:val="24"/>
        </w:rPr>
        <w:t xml:space="preserve">, co uwypukla narastające wyzwanie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niekontrolowanym użyciem</w:t>
      </w:r>
      <w:r>
        <w:rPr>
          <w:rFonts w:ascii="calibri" w:hAnsi="calibri" w:eastAsia="calibri" w:cs="calibri"/>
          <w:sz w:val="24"/>
          <w:szCs w:val="24"/>
        </w:rPr>
        <w:t xml:space="preserve"> AI (tzw. </w:t>
      </w:r>
      <w:r>
        <w:rPr>
          <w:rFonts w:ascii="calibri" w:hAnsi="calibri" w:eastAsia="calibri" w:cs="calibri"/>
          <w:sz w:val="24"/>
          <w:szCs w:val="24"/>
          <w:b/>
        </w:rPr>
        <w:t xml:space="preserve">„Shadow AI”</w:t>
      </w:r>
      <w:r>
        <w:rPr>
          <w:rFonts w:ascii="calibri" w:hAnsi="calibri" w:eastAsia="calibri" w:cs="calibri"/>
          <w:sz w:val="24"/>
          <w:szCs w:val="24"/>
        </w:rPr>
        <w:t xml:space="preserve">). Bez odpowiedniego nadzoru przedsiębiorstwa narażają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wycieku danych, naruszenia bezpieczeństwa i nieprzestrzegania przepisów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widoczności i kontroli nad wykorzystaniem GenAI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administratorów sieci i właścicieli firm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„Shadow AI” jest proste dzięki zaporom sieciowym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Ulepszona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i kontroli aplikacji</w:t>
      </w:r>
      <w:r>
        <w:rPr>
          <w:rFonts w:ascii="calibri" w:hAnsi="calibri" w:eastAsia="calibri" w:cs="calibri"/>
          <w:sz w:val="24"/>
          <w:szCs w:val="24"/>
        </w:rPr>
        <w:t xml:space="preserve"> pozwala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łatwo zarządzać dostępem do narzędzi GenAI w całej sieci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funkcjonalności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treści GenAI: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 aplikacji</w:t>
      </w:r>
      <w:r>
        <w:rPr>
          <w:rFonts w:ascii="calibri" w:hAnsi="calibri" w:eastAsia="calibri" w:cs="calibri"/>
          <w:sz w:val="24"/>
          <w:szCs w:val="24"/>
        </w:rPr>
        <w:t xml:space="preserve">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blokowanie</w:t>
      </w:r>
      <w:r>
        <w:rPr>
          <w:rFonts w:ascii="calibri" w:hAnsi="calibri" w:eastAsia="calibri" w:cs="calibri"/>
          <w:sz w:val="24"/>
          <w:szCs w:val="24"/>
        </w:rPr>
        <w:t xml:space="preserve"> wszystkich aplikacji GenAI </w:t>
      </w:r>
      <w:r>
        <w:rPr>
          <w:rFonts w:ascii="calibri" w:hAnsi="calibri" w:eastAsia="calibri" w:cs="calibri"/>
          <w:sz w:val="24"/>
          <w:szCs w:val="24"/>
          <w:b/>
        </w:rPr>
        <w:t xml:space="preserve">jednym kliknięciem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selektywne zezwalanie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zatwierdzone usługi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przekierowywanie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użytkowników do bezpiecznych alternatyw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aplikacji: </w:t>
      </w:r>
      <w:r>
        <w:rPr>
          <w:rFonts w:ascii="calibri" w:hAnsi="calibri" w:eastAsia="calibri" w:cs="calibri"/>
          <w:sz w:val="24"/>
          <w:szCs w:val="24"/>
        </w:rPr>
        <w:t xml:space="preserve">szczegółowe </w:t>
      </w:r>
      <w:r>
        <w:rPr>
          <w:rFonts w:ascii="calibri" w:hAnsi="calibri" w:eastAsia="calibri" w:cs="calibri"/>
          <w:sz w:val="24"/>
          <w:szCs w:val="24"/>
          <w:b/>
        </w:rPr>
        <w:t xml:space="preserve">opcje kontroli</w:t>
      </w:r>
      <w:r>
        <w:rPr>
          <w:rFonts w:ascii="calibri" w:hAnsi="calibri" w:eastAsia="calibri" w:cs="calibri"/>
          <w:sz w:val="24"/>
          <w:szCs w:val="24"/>
        </w:rPr>
        <w:t xml:space="preserve"> pozwalają zespołom IT </w:t>
      </w:r>
      <w:r>
        <w:rPr>
          <w:rFonts w:ascii="calibri" w:hAnsi="calibri" w:eastAsia="calibri" w:cs="calibri"/>
          <w:sz w:val="24"/>
          <w:szCs w:val="24"/>
          <w:b/>
        </w:rPr>
        <w:t xml:space="preserve">ustalać priorytety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ograniczać przepustowość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blokować konkretne aplikacje GenAI</w:t>
      </w:r>
      <w:r>
        <w:rPr>
          <w:rFonts w:ascii="calibri" w:hAnsi="calibri" w:eastAsia="calibri" w:cs="calibri"/>
          <w:sz w:val="24"/>
          <w:szCs w:val="24"/>
        </w:rPr>
        <w:t xml:space="preserve">, wykraczając poza proste filtrowanie adresów URL.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wgląd w aplikacje w czasie rzeczywistym: monitoring ruchu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wykorzystania pasma</w:t>
      </w:r>
      <w:r>
        <w:rPr>
          <w:rFonts w:ascii="calibri" w:hAnsi="calibri" w:eastAsia="calibri" w:cs="calibri"/>
          <w:sz w:val="24"/>
          <w:szCs w:val="24"/>
        </w:rPr>
        <w:t xml:space="preserve"> pomaga </w:t>
      </w:r>
      <w:r>
        <w:rPr>
          <w:rFonts w:ascii="calibri" w:hAnsi="calibri" w:eastAsia="calibri" w:cs="calibri"/>
          <w:sz w:val="24"/>
          <w:szCs w:val="24"/>
          <w:b/>
        </w:rPr>
        <w:t xml:space="preserve">wykryć nietypową aktywność</w:t>
      </w:r>
      <w:r>
        <w:rPr>
          <w:rFonts w:ascii="calibri" w:hAnsi="calibri" w:eastAsia="calibri" w:cs="calibri"/>
          <w:sz w:val="24"/>
          <w:szCs w:val="24"/>
        </w:rPr>
        <w:t xml:space="preserve">, taką jak skoki, które mogą wskazywać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potencjalny wyciek danych</w:t>
      </w:r>
      <w:r>
        <w:rPr>
          <w:rFonts w:ascii="calibri" w:hAnsi="calibri" w:eastAsia="calibri" w:cs="calibri"/>
          <w:sz w:val="24"/>
          <w:szCs w:val="24"/>
        </w:rPr>
        <w:t xml:space="preserve">, umożliwiając podjęcie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Ujednolicona i bezpieczna brama do aplikacji GenAI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wspierać bezpieczne wdrażanie,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nawiązała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Heartbot AI</w:t>
      </w:r>
      <w:r>
        <w:rPr>
          <w:rFonts w:ascii="calibri" w:hAnsi="calibri" w:eastAsia="calibri" w:cs="calibri"/>
          <w:sz w:val="24"/>
          <w:szCs w:val="24"/>
        </w:rPr>
        <w:t xml:space="preserve">, oferując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AnyInsight.ai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natywną dla chmury platformę aplikacji AI,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zarządzany dostęp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wiodących modeli GenAI LLM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350 agentów 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połączonych aplikacji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Zunifikowana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dost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pu </w:t>
      </w:r>
      <w:r>
        <w:rPr>
          <w:rFonts w:ascii="calibri" w:hAnsi="calibri" w:eastAsia="calibri" w:cs="calibri"/>
          <w:sz w:val="24"/>
          <w:szCs w:val="24"/>
          <w:b/>
        </w:rPr>
        <w:t xml:space="preserve">do GenAI: </w:t>
      </w:r>
      <w:r>
        <w:rPr>
          <w:rFonts w:ascii="calibri" w:hAnsi="calibri" w:eastAsia="calibri" w:cs="calibri"/>
          <w:sz w:val="24"/>
          <w:szCs w:val="24"/>
        </w:rPr>
        <w:t xml:space="preserve">pracownicy mogą </w:t>
      </w:r>
      <w:r>
        <w:rPr>
          <w:rFonts w:ascii="calibri" w:hAnsi="calibri" w:eastAsia="calibri" w:cs="calibri"/>
          <w:sz w:val="24"/>
          <w:szCs w:val="24"/>
          <w:b/>
        </w:rPr>
        <w:t xml:space="preserve">płynnie przełączać się między różnymi dużymi modelami językowymi (LLM) i agentami</w:t>
      </w:r>
      <w:r>
        <w:rPr>
          <w:rFonts w:ascii="calibri" w:hAnsi="calibri" w:eastAsia="calibri" w:cs="calibri"/>
          <w:sz w:val="24"/>
          <w:szCs w:val="24"/>
        </w:rPr>
        <w:t xml:space="preserve"> w ramach kontrolowanego środowiska. Dostęp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regulowany przez zdefiniowane role i uprawnienia</w:t>
      </w:r>
      <w:r>
        <w:rPr>
          <w:rFonts w:ascii="calibri" w:hAnsi="calibri" w:eastAsia="calibri" w:cs="calibri"/>
          <w:sz w:val="24"/>
          <w:szCs w:val="24"/>
        </w:rPr>
        <w:t xml:space="preserve">. Rozwiązanie to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maksymalizuje wydajność</w:t>
      </w:r>
      <w:r>
        <w:rPr>
          <w:rFonts w:ascii="calibri" w:hAnsi="calibri" w:eastAsia="calibri" w:cs="calibri"/>
          <w:sz w:val="24"/>
          <w:szCs w:val="24"/>
        </w:rPr>
        <w:t xml:space="preserve">, zapewniając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i zgodność z przepisami dla właścicieli firm</w:t>
      </w:r>
      <w:r>
        <w:rPr>
          <w:rFonts w:ascii="calibri" w:hAnsi="calibri" w:eastAsia="calibri" w:cs="calibri"/>
          <w:sz w:val="24"/>
          <w:szCs w:val="24"/>
        </w:rPr>
        <w:t xml:space="preserve">. Organizacje mogą również wdrażać </w:t>
      </w:r>
      <w:r>
        <w:rPr>
          <w:rFonts w:ascii="calibri" w:hAnsi="calibri" w:eastAsia="calibri" w:cs="calibri"/>
          <w:sz w:val="24"/>
          <w:szCs w:val="24"/>
          <w:b/>
        </w:rPr>
        <w:t xml:space="preserve">konfigurowalnych agentów AI</w:t>
      </w:r>
      <w:r>
        <w:rPr>
          <w:rFonts w:ascii="calibri" w:hAnsi="calibri" w:eastAsia="calibri" w:cs="calibri"/>
          <w:sz w:val="24"/>
          <w:szCs w:val="24"/>
        </w:rPr>
        <w:t xml:space="preserve">, dostosowanych do konkretnych zadań lub przepływów pracy, aby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opartą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Zapora aplikacji AI: </w:t>
      </w:r>
      <w:r>
        <w:rPr>
          <w:rFonts w:ascii="calibri" w:hAnsi="calibri" w:eastAsia="calibri" w:cs="calibri"/>
          <w:sz w:val="24"/>
          <w:szCs w:val="24"/>
        </w:rPr>
        <w:t xml:space="preserve">kompleksowa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kontekstowa</w:t>
      </w:r>
      <w:r>
        <w:rPr>
          <w:rFonts w:ascii="calibri" w:hAnsi="calibri" w:eastAsia="calibri" w:cs="calibri"/>
          <w:sz w:val="24"/>
          <w:szCs w:val="24"/>
        </w:rPr>
        <w:t xml:space="preserve"> umożliwia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wszystkich interakcji między użytkownikami, modelami LLM, agentami i aplikacjami połączonymi z AI</w:t>
      </w:r>
      <w:r>
        <w:rPr>
          <w:rFonts w:ascii="calibri" w:hAnsi="calibri" w:eastAsia="calibri" w:cs="calibri"/>
          <w:sz w:val="24"/>
          <w:szCs w:val="24"/>
        </w:rPr>
        <w:t xml:space="preserve">. Rejestruje ona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użytkowników, wykorzystanie danych i interakcje z AI</w:t>
      </w:r>
      <w:r>
        <w:rPr>
          <w:rFonts w:ascii="calibri" w:hAnsi="calibri" w:eastAsia="calibri" w:cs="calibri"/>
          <w:sz w:val="24"/>
          <w:szCs w:val="24"/>
        </w:rPr>
        <w:t xml:space="preserve">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egzekwuje zasady dostępu i reguły bezpieczeństwa</w:t>
      </w:r>
      <w:r>
        <w:rPr>
          <w:rFonts w:ascii="calibri" w:hAnsi="calibri" w:eastAsia="calibri" w:cs="calibri"/>
          <w:sz w:val="24"/>
          <w:szCs w:val="24"/>
        </w:rPr>
        <w:t xml:space="preserve">, aby zapobiec ujawnieniu, niewłaściwemu wykorzystaniu lub naruszeniu poufnych danych, wiedzy i przepływów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 sposób działania przedsiębiorstw, ale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 odpowiednich zabezpieczeń może wiązać się ze znacznym ryzykiem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Sales,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GenAI Protection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daje małym i średnim przedsiębiorstwom oraz dostawcom usług zarządzanych (MSP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pewność w korzystaniu z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widoczność, kontrolę i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niezbędne do zapobiegania utracie danych i zapewnienia odpowiedzialnego 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 jest dostępne wraz z rozwiązaniami firewallowymi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niezależna usługa licencjonowana</w:t>
      </w:r>
      <w:r>
        <w:rPr>
          <w:rFonts w:ascii="calibri" w:hAnsi="calibri" w:eastAsia="calibri" w:cs="calibri"/>
          <w:sz w:val="24"/>
          <w:szCs w:val="24"/>
        </w:rPr>
        <w:t xml:space="preserve">, oferująca elastyczność organizacjom, które wymagają dodatkowych warstw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wdrożenie rozwiązania,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obecnym klientom korzystającym z zapór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 ograniczoną czasowo </w:t>
      </w:r>
      <w:r>
        <w:rPr>
          <w:rFonts w:ascii="calibri" w:hAnsi="calibri" w:eastAsia="calibri" w:cs="calibri"/>
          <w:sz w:val="24"/>
          <w:szCs w:val="24"/>
          <w:b/>
        </w:rPr>
        <w:t xml:space="preserve">zniżkę</w:t>
      </w:r>
      <w:r>
        <w:rPr>
          <w:rFonts w:ascii="calibri" w:hAnsi="calibri" w:eastAsia="calibri" w:cs="calibri"/>
          <w:sz w:val="24"/>
          <w:szCs w:val="24"/>
          <w:b/>
        </w:rPr>
        <w:t xml:space="preserve"> w wysokości 40%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AnyInsight.ai</w:t>
      </w:r>
      <w:r>
        <w:rPr>
          <w:rFonts w:ascii="calibri" w:hAnsi="calibri" w:eastAsia="calibri" w:cs="calibri"/>
          <w:sz w:val="24"/>
          <w:szCs w:val="24"/>
        </w:rPr>
        <w:t xml:space="preserve">. Pomaga przedsiębiorstwom </w:t>
      </w:r>
      <w:r>
        <w:rPr>
          <w:rFonts w:ascii="calibri" w:hAnsi="calibri" w:eastAsia="calibri" w:cs="calibri"/>
          <w:sz w:val="24"/>
          <w:szCs w:val="24"/>
          <w:b/>
        </w:rPr>
        <w:t xml:space="preserve">wzmocnić zarządzanie sztuczną inteligencją</w:t>
      </w:r>
      <w:r>
        <w:rPr>
          <w:rFonts w:ascii="calibri" w:hAnsi="calibri" w:eastAsia="calibri" w:cs="calibri"/>
          <w:sz w:val="24"/>
          <w:szCs w:val="24"/>
        </w:rPr>
        <w:t xml:space="preserve"> przy jednoczesnym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zmniejszeniu ryzyka operacyjnego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https://community.zyxel.com/en/discussion/32566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mg.com/kpmg-us/content/dam/kpmg/pdf/2025/shadow-ai-already-here-take-control-reduce-risk-unleash-innovation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firewall-ngfw/firewall-ngfw-usg-flex-h-series" TargetMode="External"/><Relationship Id="rId10" Type="http://schemas.openxmlformats.org/officeDocument/2006/relationships/hyperlink" Target="https://www.anyinsight.ai/" TargetMode="External"/><Relationship Id="rId11" Type="http://schemas.openxmlformats.org/officeDocument/2006/relationships/hyperlink" Target="http://zyxel.biuroprasowe.pl/word/?hash=d24175ee785c026e3e5b1ebe1c2bc499&amp;id=212736&amp;typ=epr%20https:/community.zyxel.com/en/discussion/3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2026-06-27T04:37:11+02:00</dcterms:created>
  <dcterms:modified xsi:type="dcterms:W3CDTF">2026-06-27T04:37:11+02:00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