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rozwiązanie GenAI Protection, które pozwala ograniczyć ryzyko związane z „Shadow AI”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funkcje zapory sieciowej w połączeniu z platformą AnyInsight.ai zapewniają małym i średnim przedsiębiorstwom bezpieczny, kontrolowany dostęp do aplikacji GenAI.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wprowadzenie nowego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GenAI Protection</w:t>
      </w:r>
      <w:r>
        <w:rPr>
          <w:rFonts w:ascii="calibri" w:hAnsi="calibri" w:eastAsia="calibri" w:cs="calibri"/>
          <w:sz w:val="24"/>
          <w:szCs w:val="24"/>
        </w:rPr>
        <w:t xml:space="preserve">. Zostało zaprojektowane, aby pomóc </w:t>
      </w:r>
      <w:r>
        <w:rPr>
          <w:rFonts w:ascii="calibri" w:hAnsi="calibri" w:eastAsia="calibri" w:cs="calibri"/>
          <w:sz w:val="24"/>
          <w:szCs w:val="24"/>
          <w:b/>
        </w:rPr>
        <w:t xml:space="preserve">małym i średnim przedsiębiorstwom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dostawcom usług zarządzanych (MSP)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bezpiecznym wdrażaniu technologii generatywnej sztucznej inteligencji</w:t>
      </w:r>
      <w:r>
        <w:rPr>
          <w:rFonts w:ascii="calibri" w:hAnsi="calibri" w:eastAsia="calibri" w:cs="calibri"/>
          <w:sz w:val="24"/>
          <w:szCs w:val="24"/>
        </w:rPr>
        <w:t xml:space="preserve">. Łącząc </w:t>
      </w:r>
      <w:r>
        <w:rPr>
          <w:rFonts w:ascii="calibri" w:hAnsi="calibri" w:eastAsia="calibri" w:cs="calibri"/>
          <w:sz w:val="24"/>
          <w:szCs w:val="24"/>
          <w:b/>
        </w:rPr>
        <w:t xml:space="preserve">ulepszone funkcje zapory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sieciowej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nową współpracą</w:t>
      </w:r>
      <w:r>
        <w:rPr>
          <w:rFonts w:ascii="calibri" w:hAnsi="calibri" w:eastAsia="calibri" w:cs="calibri"/>
          <w:sz w:val="24"/>
          <w:szCs w:val="24"/>
        </w:rPr>
        <w:t xml:space="preserve"> ze start-upem </w:t>
      </w:r>
      <w:r>
        <w:rPr>
          <w:rFonts w:ascii="calibri" w:hAnsi="calibri" w:eastAsia="calibri" w:cs="calibri"/>
          <w:sz w:val="24"/>
          <w:szCs w:val="24"/>
          <w:b/>
        </w:rPr>
        <w:t xml:space="preserve">AI </w:t>
      </w:r>
      <w:r>
        <w:rPr>
          <w:rFonts w:ascii="calibri" w:hAnsi="calibri" w:eastAsia="calibri" w:cs="calibri"/>
          <w:sz w:val="24"/>
          <w:szCs w:val="24"/>
          <w:b/>
        </w:rPr>
        <w:t xml:space="preserve">HEARTBOT AI Inc. (Heartbot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AI)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umożliwia firmom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monitorowanie, kontrolowanie i zabezpieczanie wykorzystania GenAI</w:t>
      </w:r>
      <w:r>
        <w:rPr>
          <w:rFonts w:ascii="calibri" w:hAnsi="calibri" w:eastAsia="calibri" w:cs="calibri"/>
          <w:sz w:val="24"/>
          <w:szCs w:val="24"/>
        </w:rPr>
        <w:t xml:space="preserve"> przy jednoczesnym </w:t>
      </w:r>
      <w:r>
        <w:rPr>
          <w:rFonts w:ascii="calibri" w:hAnsi="calibri" w:eastAsia="calibri" w:cs="calibri"/>
          <w:sz w:val="24"/>
          <w:szCs w:val="24"/>
          <w:b/>
        </w:rPr>
        <w:t xml:space="preserve">utrzymaniu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</w:t>
      </w:r>
      <w:r>
        <w:rPr>
          <w:rFonts w:ascii="calibri" w:hAnsi="calibri" w:eastAsia="calibri" w:cs="calibri"/>
          <w:sz w:val="24"/>
          <w:szCs w:val="24"/>
          <w:b/>
        </w:rPr>
        <w:t xml:space="preserve">z przyspieszeniem wdrażania GenAI w miejscach pracy</w:t>
      </w:r>
      <w:r>
        <w:rPr>
          <w:rFonts w:ascii="calibri" w:hAnsi="calibri" w:eastAsia="calibri" w:cs="calibri"/>
          <w:sz w:val="24"/>
          <w:szCs w:val="24"/>
        </w:rPr>
        <w:t xml:space="preserve"> wiele organizacji boryka się z problemem </w:t>
      </w:r>
      <w:r>
        <w:rPr>
          <w:rFonts w:ascii="calibri" w:hAnsi="calibri" w:eastAsia="calibri" w:cs="calibri"/>
          <w:sz w:val="24"/>
          <w:szCs w:val="24"/>
          <w:b/>
        </w:rPr>
        <w:t xml:space="preserve">utrzymania kontroli </w:t>
      </w:r>
      <w:r>
        <w:rPr>
          <w:rFonts w:ascii="calibri" w:hAnsi="calibri" w:eastAsia="calibri" w:cs="calibri"/>
          <w:sz w:val="24"/>
          <w:szCs w:val="24"/>
        </w:rPr>
        <w:t xml:space="preserve">nad jej wykorzystaniem.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Niedawna ankieta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wykazała, że </w:t>
      </w:r>
      <w:r>
        <w:rPr>
          <w:rFonts w:ascii="calibri" w:hAnsi="calibri" w:eastAsia="calibri" w:cs="calibri"/>
          <w:sz w:val="24"/>
          <w:szCs w:val="24"/>
          <w:b/>
        </w:rPr>
        <w:t xml:space="preserve">44% pracowników korzystało ze sztucznej inteligencji w sposób niezgodny z polityką firmy</w:t>
      </w:r>
      <w:r>
        <w:rPr>
          <w:rFonts w:ascii="calibri" w:hAnsi="calibri" w:eastAsia="calibri" w:cs="calibri"/>
          <w:sz w:val="24"/>
          <w:szCs w:val="24"/>
        </w:rPr>
        <w:t xml:space="preserve">, co uwypukla narastające wyzwanie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niekontrolowanym użyciem</w:t>
      </w:r>
      <w:r>
        <w:rPr>
          <w:rFonts w:ascii="calibri" w:hAnsi="calibri" w:eastAsia="calibri" w:cs="calibri"/>
          <w:sz w:val="24"/>
          <w:szCs w:val="24"/>
        </w:rPr>
        <w:t xml:space="preserve"> AI (tzw. </w:t>
      </w:r>
      <w:r>
        <w:rPr>
          <w:rFonts w:ascii="calibri" w:hAnsi="calibri" w:eastAsia="calibri" w:cs="calibri"/>
          <w:sz w:val="24"/>
          <w:szCs w:val="24"/>
          <w:b/>
        </w:rPr>
        <w:t xml:space="preserve">„Shadow AI”</w:t>
      </w:r>
      <w:r>
        <w:rPr>
          <w:rFonts w:ascii="calibri" w:hAnsi="calibri" w:eastAsia="calibri" w:cs="calibri"/>
          <w:sz w:val="24"/>
          <w:szCs w:val="24"/>
        </w:rPr>
        <w:t xml:space="preserve">). Bez odpowiedniego nadzoru przedsiębiorstwa narażają się na </w:t>
      </w:r>
      <w:r>
        <w:rPr>
          <w:rFonts w:ascii="calibri" w:hAnsi="calibri" w:eastAsia="calibri" w:cs="calibri"/>
          <w:sz w:val="24"/>
          <w:szCs w:val="24"/>
          <w:b/>
        </w:rPr>
        <w:t xml:space="preserve">ryzyko wycieku danych, naruszenia bezpieczeństwa i nieprzestrzegania przepisów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Zapewnienie widoczności i kontroli nad wykorzystaniem GenAI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r>
        <w:rPr>
          <w:rFonts w:ascii="calibri" w:hAnsi="calibri" w:eastAsia="calibri" w:cs="calibri"/>
          <w:sz w:val="24"/>
          <w:szCs w:val="24"/>
          <w:b/>
        </w:rPr>
        <w:t xml:space="preserve">administratorów sieci i właścicieli firm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zapobieganie „Shadow AI” jest proste dzięki zaporom sieciowym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 serii USG FLEX H</w:t>
        </w:r>
      </w:hyperlink>
      <w:r>
        <w:rPr>
          <w:rFonts w:ascii="calibri" w:hAnsi="calibri" w:eastAsia="calibri" w:cs="calibri"/>
          <w:sz w:val="24"/>
          <w:szCs w:val="24"/>
        </w:rPr>
        <w:t xml:space="preserve">. Ulepszona funkcja </w:t>
      </w:r>
      <w:r>
        <w:rPr>
          <w:rFonts w:ascii="calibri" w:hAnsi="calibri" w:eastAsia="calibri" w:cs="calibri"/>
          <w:sz w:val="24"/>
          <w:szCs w:val="24"/>
          <w:b/>
        </w:rPr>
        <w:t xml:space="preserve">rozpoznawania i kontroli aplikacji</w:t>
      </w:r>
      <w:r>
        <w:rPr>
          <w:rFonts w:ascii="calibri" w:hAnsi="calibri" w:eastAsia="calibri" w:cs="calibri"/>
          <w:sz w:val="24"/>
          <w:szCs w:val="24"/>
        </w:rPr>
        <w:t xml:space="preserve"> pozwala administratorom </w:t>
      </w:r>
      <w:r>
        <w:rPr>
          <w:rFonts w:ascii="calibri" w:hAnsi="calibri" w:eastAsia="calibri" w:cs="calibri"/>
          <w:sz w:val="24"/>
          <w:szCs w:val="24"/>
          <w:b/>
        </w:rPr>
        <w:t xml:space="preserve">łatwo zarządzać dostępem do narzędzi GenAI w całej sieci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funkcjonalności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filtrowanie treści GenAI: </w:t>
      </w:r>
      <w:r>
        <w:rPr>
          <w:rFonts w:ascii="calibri" w:hAnsi="calibri" w:eastAsia="calibri" w:cs="calibri"/>
          <w:sz w:val="24"/>
          <w:szCs w:val="24"/>
        </w:rPr>
        <w:t xml:space="preserve">dedykowana </w:t>
      </w:r>
      <w:r>
        <w:rPr>
          <w:rFonts w:ascii="calibri" w:hAnsi="calibri" w:eastAsia="calibri" w:cs="calibri"/>
          <w:sz w:val="24"/>
          <w:szCs w:val="24"/>
          <w:b/>
        </w:rPr>
        <w:t xml:space="preserve">kategoria aplikacji</w:t>
      </w:r>
      <w:r>
        <w:rPr>
          <w:rFonts w:ascii="calibri" w:hAnsi="calibri" w:eastAsia="calibri" w:cs="calibri"/>
          <w:sz w:val="24"/>
          <w:szCs w:val="24"/>
        </w:rPr>
        <w:t xml:space="preserve">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blokowanie</w:t>
      </w:r>
      <w:r>
        <w:rPr>
          <w:rFonts w:ascii="calibri" w:hAnsi="calibri" w:eastAsia="calibri" w:cs="calibri"/>
          <w:sz w:val="24"/>
          <w:szCs w:val="24"/>
        </w:rPr>
        <w:t xml:space="preserve"> wszystkich aplikacji GenAI </w:t>
      </w:r>
      <w:r>
        <w:rPr>
          <w:rFonts w:ascii="calibri" w:hAnsi="calibri" w:eastAsia="calibri" w:cs="calibri"/>
          <w:sz w:val="24"/>
          <w:szCs w:val="24"/>
          <w:b/>
        </w:rPr>
        <w:t xml:space="preserve">jednym kliknięciem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selektywne zezwalanie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zatwierdzone usługi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przekierowywanie </w:t>
      </w:r>
      <w:r>
        <w:rPr>
          <w:rFonts w:ascii="calibri" w:hAnsi="calibri" w:eastAsia="calibri" w:cs="calibri"/>
          <w:sz w:val="24"/>
          <w:szCs w:val="24"/>
          <w:b/>
        </w:rPr>
        <w:t xml:space="preserve">użytkowników do bezpiecznych alternatyw</w:t>
      </w:r>
      <w:r>
        <w:rPr>
          <w:rFonts w:ascii="calibri" w:hAnsi="calibri" w:eastAsia="calibri" w:cs="calibri"/>
          <w:sz w:val="24"/>
          <w:szCs w:val="24"/>
        </w:rPr>
        <w:t xml:space="preserve">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AnyInsight.ai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aplikacji: </w:t>
      </w:r>
      <w:r>
        <w:rPr>
          <w:rFonts w:ascii="calibri" w:hAnsi="calibri" w:eastAsia="calibri" w:cs="calibri"/>
          <w:sz w:val="24"/>
          <w:szCs w:val="24"/>
        </w:rPr>
        <w:t xml:space="preserve">szczegółowe </w:t>
      </w:r>
      <w:r>
        <w:rPr>
          <w:rFonts w:ascii="calibri" w:hAnsi="calibri" w:eastAsia="calibri" w:cs="calibri"/>
          <w:sz w:val="24"/>
          <w:szCs w:val="24"/>
          <w:b/>
        </w:rPr>
        <w:t xml:space="preserve">opcje kontroli</w:t>
      </w:r>
      <w:r>
        <w:rPr>
          <w:rFonts w:ascii="calibri" w:hAnsi="calibri" w:eastAsia="calibri" w:cs="calibri"/>
          <w:sz w:val="24"/>
          <w:szCs w:val="24"/>
        </w:rPr>
        <w:t xml:space="preserve"> pozwalają zespołom IT </w:t>
      </w:r>
      <w:r>
        <w:rPr>
          <w:rFonts w:ascii="calibri" w:hAnsi="calibri" w:eastAsia="calibri" w:cs="calibri"/>
          <w:sz w:val="24"/>
          <w:szCs w:val="24"/>
          <w:b/>
        </w:rPr>
        <w:t xml:space="preserve">ustalać priorytety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ograniczać przepustowość </w:t>
      </w:r>
      <w:r>
        <w:rPr>
          <w:rFonts w:ascii="calibri" w:hAnsi="calibri" w:eastAsia="calibri" w:cs="calibri"/>
          <w:sz w:val="24"/>
          <w:szCs w:val="24"/>
        </w:rPr>
        <w:t xml:space="preserve">lub </w:t>
      </w:r>
      <w:r>
        <w:rPr>
          <w:rFonts w:ascii="calibri" w:hAnsi="calibri" w:eastAsia="calibri" w:cs="calibri"/>
          <w:sz w:val="24"/>
          <w:szCs w:val="24"/>
          <w:b/>
        </w:rPr>
        <w:t xml:space="preserve">blokować konkretne aplikacje GenAI</w:t>
      </w:r>
      <w:r>
        <w:rPr>
          <w:rFonts w:ascii="calibri" w:hAnsi="calibri" w:eastAsia="calibri" w:cs="calibri"/>
          <w:sz w:val="24"/>
          <w:szCs w:val="24"/>
        </w:rPr>
        <w:t xml:space="preserve">, wykraczając poza proste filtrowanie adresów URL.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wgląd w aplikacje w czasie rzeczywistym: monitoring ruchu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wykorzystania pasma</w:t>
      </w:r>
      <w:r>
        <w:rPr>
          <w:rFonts w:ascii="calibri" w:hAnsi="calibri" w:eastAsia="calibri" w:cs="calibri"/>
          <w:sz w:val="24"/>
          <w:szCs w:val="24"/>
        </w:rPr>
        <w:t xml:space="preserve"> pomaga </w:t>
      </w:r>
      <w:r>
        <w:rPr>
          <w:rFonts w:ascii="calibri" w:hAnsi="calibri" w:eastAsia="calibri" w:cs="calibri"/>
          <w:sz w:val="24"/>
          <w:szCs w:val="24"/>
          <w:b/>
        </w:rPr>
        <w:t xml:space="preserve">wykryć nietypową aktywność</w:t>
      </w:r>
      <w:r>
        <w:rPr>
          <w:rFonts w:ascii="calibri" w:hAnsi="calibri" w:eastAsia="calibri" w:cs="calibri"/>
          <w:sz w:val="24"/>
          <w:szCs w:val="24"/>
        </w:rPr>
        <w:t xml:space="preserve">, taką jak skoki, które mogą wskazywać na </w:t>
      </w:r>
      <w:r>
        <w:rPr>
          <w:rFonts w:ascii="calibri" w:hAnsi="calibri" w:eastAsia="calibri" w:cs="calibri"/>
          <w:sz w:val="24"/>
          <w:szCs w:val="24"/>
          <w:b/>
        </w:rPr>
        <w:t xml:space="preserve">potencjalny wyciek danych</w:t>
      </w:r>
      <w:r>
        <w:rPr>
          <w:rFonts w:ascii="calibri" w:hAnsi="calibri" w:eastAsia="calibri" w:cs="calibri"/>
          <w:sz w:val="24"/>
          <w:szCs w:val="24"/>
        </w:rPr>
        <w:t xml:space="preserve">, umożliwiając podjęcie </w:t>
      </w:r>
      <w:r>
        <w:rPr>
          <w:rFonts w:ascii="calibri" w:hAnsi="calibri" w:eastAsia="calibri" w:cs="calibri"/>
          <w:sz w:val="24"/>
          <w:szCs w:val="24"/>
          <w:b/>
        </w:rPr>
        <w:t xml:space="preserve">natychmiastowych działań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Ujednolicona i bezpieczna brama do aplikacji GenAI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bardziej wspierać bezpieczne wdrażanie,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nawiązała współpracę z </w:t>
      </w:r>
      <w:r>
        <w:rPr>
          <w:rFonts w:ascii="calibri" w:hAnsi="calibri" w:eastAsia="calibri" w:cs="calibri"/>
          <w:sz w:val="24"/>
          <w:szCs w:val="24"/>
          <w:b/>
        </w:rPr>
        <w:t xml:space="preserve">Heartbot AI</w:t>
      </w:r>
      <w:r>
        <w:rPr>
          <w:rFonts w:ascii="calibri" w:hAnsi="calibri" w:eastAsia="calibri" w:cs="calibri"/>
          <w:sz w:val="24"/>
          <w:szCs w:val="24"/>
        </w:rPr>
        <w:t xml:space="preserve">, oferując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AnyInsight.ai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natywną dla chmury platformę aplikacji AI, która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zarządzany dostęp</w:t>
      </w:r>
      <w:r>
        <w:rPr>
          <w:rFonts w:ascii="calibri" w:hAnsi="calibri" w:eastAsia="calibri" w:cs="calibri"/>
          <w:sz w:val="24"/>
          <w:szCs w:val="24"/>
        </w:rPr>
        <w:t xml:space="preserve"> do </w:t>
      </w:r>
      <w:r>
        <w:rPr>
          <w:rFonts w:ascii="calibri" w:hAnsi="calibri" w:eastAsia="calibri" w:cs="calibri"/>
          <w:sz w:val="24"/>
          <w:szCs w:val="24"/>
          <w:b/>
        </w:rPr>
        <w:t xml:space="preserve">ponad 20 wiodących modeli GenAI LLM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ponad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350 agentów AI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połączonych aplikacji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Zunifikowana platforma </w:t>
      </w:r>
      <w:r>
        <w:rPr>
          <w:rFonts w:ascii="calibri" w:hAnsi="calibri" w:eastAsia="calibri" w:cs="calibri"/>
          <w:sz w:val="24"/>
          <w:szCs w:val="24"/>
          <w:b/>
        </w:rPr>
        <w:t xml:space="preserve">dost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pu </w:t>
      </w:r>
      <w:r>
        <w:rPr>
          <w:rFonts w:ascii="calibri" w:hAnsi="calibri" w:eastAsia="calibri" w:cs="calibri"/>
          <w:sz w:val="24"/>
          <w:szCs w:val="24"/>
          <w:b/>
        </w:rPr>
        <w:t xml:space="preserve">do GenAI: </w:t>
      </w:r>
      <w:r>
        <w:rPr>
          <w:rFonts w:ascii="calibri" w:hAnsi="calibri" w:eastAsia="calibri" w:cs="calibri"/>
          <w:sz w:val="24"/>
          <w:szCs w:val="24"/>
        </w:rPr>
        <w:t xml:space="preserve">pracownicy mogą </w:t>
      </w:r>
      <w:r>
        <w:rPr>
          <w:rFonts w:ascii="calibri" w:hAnsi="calibri" w:eastAsia="calibri" w:cs="calibri"/>
          <w:sz w:val="24"/>
          <w:szCs w:val="24"/>
          <w:b/>
        </w:rPr>
        <w:t xml:space="preserve">płynnie przełączać się między różnymi dużymi modelami językowymi (LLM) i agentami</w:t>
      </w:r>
      <w:r>
        <w:rPr>
          <w:rFonts w:ascii="calibri" w:hAnsi="calibri" w:eastAsia="calibri" w:cs="calibri"/>
          <w:sz w:val="24"/>
          <w:szCs w:val="24"/>
        </w:rPr>
        <w:t xml:space="preserve"> w ramach kontrolowanego środowiska. Dostęp jest </w:t>
      </w:r>
      <w:r>
        <w:rPr>
          <w:rFonts w:ascii="calibri" w:hAnsi="calibri" w:eastAsia="calibri" w:cs="calibri"/>
          <w:sz w:val="24"/>
          <w:szCs w:val="24"/>
          <w:b/>
        </w:rPr>
        <w:t xml:space="preserve">regulowany przez zdefiniowane role i uprawnienia</w:t>
      </w:r>
      <w:r>
        <w:rPr>
          <w:rFonts w:ascii="calibri" w:hAnsi="calibri" w:eastAsia="calibri" w:cs="calibri"/>
          <w:sz w:val="24"/>
          <w:szCs w:val="24"/>
        </w:rPr>
        <w:t xml:space="preserve">. Rozwiązanie to </w:t>
      </w:r>
      <w:r>
        <w:rPr>
          <w:rFonts w:ascii="calibri" w:hAnsi="calibri" w:eastAsia="calibri" w:cs="calibri"/>
          <w:sz w:val="24"/>
          <w:szCs w:val="24"/>
          <w:b/>
        </w:rPr>
        <w:t xml:space="preserve">maksymalizuje wydajność</w:t>
      </w:r>
      <w:r>
        <w:rPr>
          <w:rFonts w:ascii="calibri" w:hAnsi="calibri" w:eastAsia="calibri" w:cs="calibri"/>
          <w:sz w:val="24"/>
          <w:szCs w:val="24"/>
        </w:rPr>
        <w:t xml:space="preserve">, zapewniając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i zgodność z przepisami dla właścicieli firm</w:t>
      </w:r>
      <w:r>
        <w:rPr>
          <w:rFonts w:ascii="calibri" w:hAnsi="calibri" w:eastAsia="calibri" w:cs="calibri"/>
          <w:sz w:val="24"/>
          <w:szCs w:val="24"/>
        </w:rPr>
        <w:t xml:space="preserve">. Organizacje mogą również wdrażać </w:t>
      </w:r>
      <w:r>
        <w:rPr>
          <w:rFonts w:ascii="calibri" w:hAnsi="calibri" w:eastAsia="calibri" w:cs="calibri"/>
          <w:sz w:val="24"/>
          <w:szCs w:val="24"/>
          <w:b/>
        </w:rPr>
        <w:t xml:space="preserve">konfigurowalnych agentów AI</w:t>
      </w:r>
      <w:r>
        <w:rPr>
          <w:rFonts w:ascii="calibri" w:hAnsi="calibri" w:eastAsia="calibri" w:cs="calibri"/>
          <w:sz w:val="24"/>
          <w:szCs w:val="24"/>
        </w:rPr>
        <w:t xml:space="preserve">, dostosowanych do konkretnych zadań lub przepływów pracy, aby </w:t>
      </w:r>
      <w:r>
        <w:rPr>
          <w:rFonts w:ascii="calibri" w:hAnsi="calibri" w:eastAsia="calibri" w:cs="calibri"/>
          <w:sz w:val="24"/>
          <w:szCs w:val="24"/>
          <w:b/>
        </w:rPr>
        <w:t xml:space="preserve">wspierać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transformację opartą na sztucznej inteligencji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Zapora aplikacji AI: </w:t>
      </w:r>
      <w:r>
        <w:rPr>
          <w:rFonts w:ascii="calibri" w:hAnsi="calibri" w:eastAsia="calibri" w:cs="calibri"/>
          <w:sz w:val="24"/>
          <w:szCs w:val="24"/>
        </w:rPr>
        <w:t xml:space="preserve">kompleksowa </w:t>
      </w:r>
      <w:r>
        <w:rPr>
          <w:rFonts w:ascii="calibri" w:hAnsi="calibri" w:eastAsia="calibri" w:cs="calibri"/>
          <w:sz w:val="24"/>
          <w:szCs w:val="24"/>
          <w:b/>
        </w:rPr>
        <w:t xml:space="preserve">kontrola kontekstowa</w:t>
      </w:r>
      <w:r>
        <w:rPr>
          <w:rFonts w:ascii="calibri" w:hAnsi="calibri" w:eastAsia="calibri" w:cs="calibri"/>
          <w:sz w:val="24"/>
          <w:szCs w:val="24"/>
        </w:rPr>
        <w:t xml:space="preserve"> umożliwia administratorom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wszystkich interakcji między użytkownikami, modelami LLM, agentami i aplikacjami połączonymi z AI</w:t>
      </w:r>
      <w:r>
        <w:rPr>
          <w:rFonts w:ascii="calibri" w:hAnsi="calibri" w:eastAsia="calibri" w:cs="calibri"/>
          <w:sz w:val="24"/>
          <w:szCs w:val="24"/>
        </w:rPr>
        <w:t xml:space="preserve">. Rejestruje ona </w:t>
      </w:r>
      <w:r>
        <w:rPr>
          <w:rFonts w:ascii="calibri" w:hAnsi="calibri" w:eastAsia="calibri" w:cs="calibri"/>
          <w:sz w:val="24"/>
          <w:szCs w:val="24"/>
          <w:b/>
        </w:rPr>
        <w:t xml:space="preserve">aktywność użytkowników, wykorzystanie danych i interakcje z AI</w:t>
      </w:r>
      <w:r>
        <w:rPr>
          <w:rFonts w:ascii="calibri" w:hAnsi="calibri" w:eastAsia="calibri" w:cs="calibri"/>
          <w:sz w:val="24"/>
          <w:szCs w:val="24"/>
        </w:rPr>
        <w:t xml:space="preserve">, a co najważniejsze, </w:t>
      </w:r>
      <w:r>
        <w:rPr>
          <w:rFonts w:ascii="calibri" w:hAnsi="calibri" w:eastAsia="calibri" w:cs="calibri"/>
          <w:sz w:val="24"/>
          <w:szCs w:val="24"/>
          <w:b/>
        </w:rPr>
        <w:t xml:space="preserve">egzekwuje zasady dostępu i reguły bezpieczeństwa</w:t>
      </w:r>
      <w:r>
        <w:rPr>
          <w:rFonts w:ascii="calibri" w:hAnsi="calibri" w:eastAsia="calibri" w:cs="calibri"/>
          <w:sz w:val="24"/>
          <w:szCs w:val="24"/>
        </w:rPr>
        <w:t xml:space="preserve">, aby zapobiec ujawnieniu, niewłaściwemu wykorzystaniu lub naruszeniu poufnych danych, wiedzy i przepływów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Generatywna AI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zmienia sposób działania przedsiębiorstw, ale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bez odpowiednich zabezpieczeń może wiązać się ze znacznym ryzykiem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Sales,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rozwiązanie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GenAI Protection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daje małym i średnim przedsiębiorstwom oraz dostawcom usług zarządzanych (MSP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) pewność w korzystaniu z AI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Gwarantuje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widoczność, kontrolę i ochronę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niezbędne do zapobiegania utracie danych i zapewnienia odpowiedzialnego użytkowania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AnyInsight.ai</w:t>
      </w:r>
      <w:r>
        <w:rPr>
          <w:rFonts w:ascii="calibri" w:hAnsi="calibri" w:eastAsia="calibri" w:cs="calibri"/>
          <w:sz w:val="24"/>
          <w:szCs w:val="24"/>
        </w:rPr>
        <w:t xml:space="preserve"> jest dostępne wraz z rozwiązaniami firewallowymi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jako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niezależna usługa licencjonowana</w:t>
      </w:r>
      <w:r>
        <w:rPr>
          <w:rFonts w:ascii="calibri" w:hAnsi="calibri" w:eastAsia="calibri" w:cs="calibri"/>
          <w:sz w:val="24"/>
          <w:szCs w:val="24"/>
        </w:rPr>
        <w:t xml:space="preserve">, oferująca elastyczność organizacjom, które wymagają dodatkowych warstw kontroli.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wesprzeć wdrożenie rozwiązania,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oferuje obecnym klientom korzystającym z zapór sieciowych</w:t>
      </w:r>
      <w:r>
        <w:rPr>
          <w:rFonts w:ascii="calibri" w:hAnsi="calibri" w:eastAsia="calibri" w:cs="calibri"/>
          <w:sz w:val="24"/>
          <w:szCs w:val="24"/>
          <w:b/>
        </w:rPr>
        <w:t xml:space="preserve"> ograniczoną czasowo </w:t>
      </w:r>
      <w:r>
        <w:rPr>
          <w:rFonts w:ascii="calibri" w:hAnsi="calibri" w:eastAsia="calibri" w:cs="calibri"/>
          <w:sz w:val="24"/>
          <w:szCs w:val="24"/>
          <w:b/>
        </w:rPr>
        <w:t xml:space="preserve">zniżkę</w:t>
      </w:r>
      <w:r>
        <w:rPr>
          <w:rFonts w:ascii="calibri" w:hAnsi="calibri" w:eastAsia="calibri" w:cs="calibri"/>
          <w:sz w:val="24"/>
          <w:szCs w:val="24"/>
          <w:b/>
        </w:rPr>
        <w:t xml:space="preserve"> w wysokości 40% </w:t>
      </w:r>
      <w:r>
        <w:rPr>
          <w:rFonts w:ascii="calibri" w:hAnsi="calibri" w:eastAsia="calibri" w:cs="calibri"/>
          <w:sz w:val="24"/>
          <w:szCs w:val="24"/>
          <w:b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AnyInsight.ai</w:t>
      </w:r>
      <w:r>
        <w:rPr>
          <w:rFonts w:ascii="calibri" w:hAnsi="calibri" w:eastAsia="calibri" w:cs="calibri"/>
          <w:sz w:val="24"/>
          <w:szCs w:val="24"/>
        </w:rPr>
        <w:t xml:space="preserve">. Pomaga przedsiębiorstwom </w:t>
      </w:r>
      <w:r>
        <w:rPr>
          <w:rFonts w:ascii="calibri" w:hAnsi="calibri" w:eastAsia="calibri" w:cs="calibri"/>
          <w:sz w:val="24"/>
          <w:szCs w:val="24"/>
          <w:b/>
        </w:rPr>
        <w:t xml:space="preserve">wzmocnić zarządzanie sztuczną inteligencją</w:t>
      </w:r>
      <w:r>
        <w:rPr>
          <w:rFonts w:ascii="calibri" w:hAnsi="calibri" w:eastAsia="calibri" w:cs="calibri"/>
          <w:sz w:val="24"/>
          <w:szCs w:val="24"/>
        </w:rPr>
        <w:t xml:space="preserve"> przy jednoczesnym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zmniejszeniu ryzyka operacyjnego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można znaleźć na stronie: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https://community.zyxel.com/en/discussion/32566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mg.com/kpmg-us/content/dam/kpmg/pdf/2025/shadow-ai-already-here-take-control-reduce-risk-unleash-innovation.pd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zyxel.com/pl/pl/products/firewall-ngfw/firewall-ngfw-usg-flex-h-series" TargetMode="External"/><Relationship Id="rId10" Type="http://schemas.openxmlformats.org/officeDocument/2006/relationships/hyperlink" Target="https://www.anyinsight.ai/" TargetMode="External"/><Relationship Id="rId11" Type="http://schemas.openxmlformats.org/officeDocument/2006/relationships/hyperlink" Target="http://zyxel.biuroprasowe.pl/word/?hash=d24175ee785c026e3e5b1ebe1c2bc499&amp;id=212736&amp;typ=epr%20https:/community.zyxel.com/en/discussion/3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2026-08-23T08:06:38+02:00</dcterms:created>
  <dcterms:modified xsi:type="dcterms:W3CDTF">2026-08-23T08:06:38+02:00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