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rozpoczyna nową erę multigigabitowych połączeń PoE o dużej mocy dzięki serii XMG2230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przełączniki dostępowe warstwy trzeciej zapewniają multigigabitową wydajność, wysoką moc zasilania PoE oraz konstrukcję odporną na awarie, dopasowaną do potrzeb nowoczesnych sieci w małych i średnich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dzisiaj wprowadzenie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serii XMG2230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nowej generacji </w:t>
      </w:r>
      <w:r>
        <w:rPr>
          <w:rFonts w:ascii="calibri" w:hAnsi="calibri" w:eastAsia="calibri" w:cs="calibri"/>
          <w:sz w:val="24"/>
          <w:szCs w:val="24"/>
          <w:b/>
        </w:rPr>
        <w:t xml:space="preserve">multigigabitowych przełączników dostępowych warstwy trzeciej (L3) z obsługą PoE</w:t>
      </w:r>
      <w:r>
        <w:rPr>
          <w:rFonts w:ascii="calibri" w:hAnsi="calibri" w:eastAsia="calibri" w:cs="calibri"/>
          <w:sz w:val="24"/>
          <w:szCs w:val="24"/>
        </w:rPr>
        <w:t xml:space="preserve">. Zaprojektowana została w celu uproszczenia i optymalizacji sieci w małych i średnich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złożoności środowisk biznesowych, w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punkty dostępowe WiFi 6/7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systemy monitoringu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terminale płatnicze (POS)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serwery NAS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końcowe IoT</w:t>
      </w:r>
      <w:r>
        <w:rPr>
          <w:rFonts w:ascii="calibri" w:hAnsi="calibri" w:eastAsia="calibri" w:cs="calibri"/>
          <w:sz w:val="24"/>
          <w:szCs w:val="24"/>
        </w:rPr>
        <w:t xml:space="preserve"> konkurują o przepustowość i zasilanie,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szybką łączność multigigabitową, obsługę PoE o dużej mocy oraz funkcje łatwego zarządzania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Seria XMG2230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została zaprojektowana dla małych i średnich przedsiębiorstw, które potrzebują mocy klasy korporacyjnej bez złożoności na poziomie korporacyjnym</w:t>
      </w:r>
      <w:r>
        <w:rPr>
          <w:rFonts w:ascii="calibri" w:hAnsi="calibri" w:eastAsia="calibri" w:cs="calibri"/>
          <w:sz w:val="24"/>
          <w:szCs w:val="24"/>
        </w:rPr>
        <w:t xml:space="preserve"> —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wydajność multigigabitową, obsługę PoE o dużej mocy, odporną konstrukcję i elastyczne zarządzanie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pomagamy firmom budować solidne podstawy sieciowe w nowej erze niezawodnej łączności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Przyszłościowe sieci bez nadwyrężania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małe i średnie przedsiębiorstwa modernizują sieci bez luksusu budżetów wielkich korporacji,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</w:t>
      </w:r>
      <w:r>
        <w:rPr>
          <w:rFonts w:ascii="calibri" w:hAnsi="calibri" w:eastAsia="calibri" w:cs="calibri"/>
          <w:sz w:val="24"/>
          <w:szCs w:val="24"/>
        </w:rPr>
        <w:t xml:space="preserve">do obsługi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urządzeń nowej generacji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tych już istniejących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 konieczności kosztownej i uciążliwej modernizacji infrastruktury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Opcje portów o różnych prędkościach: </w:t>
      </w:r>
      <w:r>
        <w:rPr>
          <w:rFonts w:ascii="calibri" w:hAnsi="calibri" w:eastAsia="calibri" w:cs="calibri"/>
          <w:sz w:val="24"/>
          <w:szCs w:val="24"/>
        </w:rPr>
        <w:t xml:space="preserve">seria </w:t>
      </w:r>
      <w:r>
        <w:rPr>
          <w:rFonts w:ascii="calibri" w:hAnsi="calibri" w:eastAsia="calibri" w:cs="calibri"/>
          <w:sz w:val="24"/>
          <w:szCs w:val="24"/>
        </w:rPr>
        <w:t xml:space="preserve">składa się z dwóch modeli – </w:t>
      </w:r>
      <w:r>
        <w:rPr>
          <w:rFonts w:ascii="calibri" w:hAnsi="calibri" w:eastAsia="calibri" w:cs="calibri"/>
          <w:sz w:val="24"/>
          <w:szCs w:val="24"/>
          <w:b/>
        </w:rPr>
        <w:t xml:space="preserve">XMG2230-28HP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XMG2230-52HP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oferujących łączność 2,5G lub kombinację portów 1G i 2,5G, </w:t>
      </w:r>
      <w:r>
        <w:rPr>
          <w:rFonts w:ascii="calibri" w:hAnsi="calibri" w:eastAsia="calibri" w:cs="calibri"/>
          <w:sz w:val="24"/>
          <w:szCs w:val="24"/>
          <w:b/>
        </w:rPr>
        <w:t xml:space="preserve">dostosowując się do różnych wymagań urządzeń i unikając kosztownej wymiany okablowania</w:t>
      </w:r>
      <w:r>
        <w:rPr>
          <w:rFonts w:ascii="calibri" w:hAnsi="calibri" w:eastAsia="calibri" w:cs="calibri"/>
          <w:sz w:val="24"/>
          <w:szCs w:val="24"/>
        </w:rPr>
        <w:t xml:space="preserve">. Oba modele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porty uplink 10G SFP+</w:t>
      </w:r>
      <w:r>
        <w:rPr>
          <w:rFonts w:ascii="calibri" w:hAnsi="calibri" w:eastAsia="calibri" w:cs="calibri"/>
          <w:sz w:val="24"/>
          <w:szCs w:val="24"/>
        </w:rPr>
        <w:t xml:space="preserve">, które agregują ruch szkieletowy w celu zapewnienia płynnych wideokonferencji lub agregacji łączy, </w:t>
      </w:r>
      <w:r>
        <w:rPr>
          <w:rFonts w:ascii="calibri" w:hAnsi="calibri" w:eastAsia="calibri" w:cs="calibri"/>
          <w:sz w:val="24"/>
          <w:szCs w:val="24"/>
          <w:b/>
        </w:rPr>
        <w:t xml:space="preserve">eliminując wąskie gardła i zapewniając zapas wydajności na przyszły rozwój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Sieć zawsze aktywna i wyjątkowo odporna: </w:t>
      </w:r>
      <w:r>
        <w:rPr>
          <w:rFonts w:ascii="calibri" w:hAnsi="calibri" w:eastAsia="calibri" w:cs="calibri"/>
          <w:sz w:val="24"/>
          <w:szCs w:val="24"/>
        </w:rPr>
        <w:t xml:space="preserve">podwójne źródła zasilania -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zasilacz AC i opcjonalne wejście DC</w:t>
      </w:r>
      <w:r>
        <w:rPr>
          <w:rFonts w:ascii="calibri" w:hAnsi="calibri" w:eastAsia="calibri" w:cs="calibri"/>
          <w:sz w:val="24"/>
          <w:szCs w:val="24"/>
        </w:rPr>
        <w:t xml:space="preserve"> - pomagają </w:t>
      </w:r>
      <w:r>
        <w:rPr>
          <w:rFonts w:ascii="calibri" w:hAnsi="calibri" w:eastAsia="calibri" w:cs="calibri"/>
          <w:sz w:val="24"/>
          <w:szCs w:val="24"/>
          <w:b/>
        </w:rPr>
        <w:t xml:space="preserve">wyeliminować ryzyko wystąpienia pojedynczego punktu awarii w razie przerw w dostawie prądu</w:t>
      </w:r>
      <w:r>
        <w:rPr>
          <w:rFonts w:ascii="calibri" w:hAnsi="calibri" w:eastAsia="calibri" w:cs="calibri"/>
          <w:sz w:val="24"/>
          <w:szCs w:val="24"/>
        </w:rPr>
        <w:t xml:space="preserve">. Opcja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zewnętrznego zasilania DC zapewnia elastyczną redundancję</w:t>
      </w:r>
      <w:r>
        <w:rPr>
          <w:rFonts w:ascii="calibri" w:hAnsi="calibri" w:eastAsia="calibri" w:cs="calibri"/>
          <w:sz w:val="24"/>
          <w:szCs w:val="24"/>
        </w:rPr>
        <w:t xml:space="preserve"> – pozwala wykorzystać istniejącą infrastrukturę prądu stałego lub uruchomić zasilanie awaryjne tylko wtedy, gdy jest to konieczne. Dzięki temu zyskujesz bezpieczeństwo </w:t>
      </w:r>
      <w:r>
        <w:rPr>
          <w:rFonts w:ascii="calibri" w:hAnsi="calibri" w:eastAsia="calibri" w:cs="calibri"/>
          <w:sz w:val="24"/>
          <w:szCs w:val="24"/>
          <w:b/>
        </w:rPr>
        <w:t xml:space="preserve">bez konieczności inwestowania w drogie urządzenia z fabrycznie wbudowanym, podwójnym zasilaniem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moc i skalowalne wsparcie PoE: </w:t>
      </w:r>
      <w:r>
        <w:rPr>
          <w:rFonts w:ascii="calibri" w:hAnsi="calibri" w:eastAsia="calibri" w:cs="calibri"/>
          <w:sz w:val="24"/>
          <w:szCs w:val="24"/>
        </w:rPr>
        <w:t xml:space="preserve">dzięki obsłudze standardów PoE++ oraz PoE+ przełączniki mogą zasilać dowolne urządzenia – od energochłonnych punktów dostępowych WiFi 6/7 po energooszczędne czujniki IoT. </w:t>
      </w:r>
      <w:r>
        <w:rPr>
          <w:rFonts w:ascii="calibri" w:hAnsi="calibri" w:eastAsia="calibri" w:cs="calibri"/>
          <w:sz w:val="24"/>
          <w:szCs w:val="24"/>
          <w:b/>
        </w:rPr>
        <w:t xml:space="preserve">Wysoki budżet mocy PoE</w:t>
      </w:r>
      <w:r>
        <w:rPr>
          <w:rFonts w:ascii="calibri" w:hAnsi="calibri" w:eastAsia="calibri" w:cs="calibri"/>
          <w:sz w:val="24"/>
          <w:szCs w:val="24"/>
        </w:rPr>
        <w:t xml:space="preserve"> (do 960 W przy zasilaniu AC) </w:t>
      </w:r>
      <w:r>
        <w:rPr>
          <w:rFonts w:ascii="calibri" w:hAnsi="calibri" w:eastAsia="calibri" w:cs="calibri"/>
          <w:sz w:val="24"/>
          <w:szCs w:val="24"/>
          <w:b/>
        </w:rPr>
        <w:t xml:space="preserve">eliminuje potrzebę stosowania zewnętrznych iniektorów i upraszcza instalację</w:t>
      </w:r>
      <w:r>
        <w:rPr>
          <w:rFonts w:ascii="calibri" w:hAnsi="calibri" w:eastAsia="calibri" w:cs="calibri"/>
          <w:sz w:val="24"/>
          <w:szCs w:val="24"/>
        </w:rPr>
        <w:t xml:space="preserve">. Wykorzystując zewnętrzne źródła prądu stałego (DC), </w:t>
      </w:r>
      <w:r>
        <w:rPr>
          <w:rFonts w:ascii="calibri" w:hAnsi="calibri" w:eastAsia="calibri" w:cs="calibri"/>
          <w:sz w:val="24"/>
          <w:szCs w:val="24"/>
          <w:b/>
        </w:rPr>
        <w:t xml:space="preserve">moc PoE można zwiększyć aż do 2400 W</w:t>
      </w:r>
      <w:r>
        <w:rPr>
          <w:rFonts w:ascii="calibri" w:hAnsi="calibri" w:eastAsia="calibri" w:cs="calibri"/>
          <w:sz w:val="24"/>
          <w:szCs w:val="24"/>
        </w:rPr>
        <w:t xml:space="preserve">, co czyni te urządzenia idealnym rozwiązaniem </w:t>
      </w:r>
      <w:r>
        <w:rPr>
          <w:rFonts w:ascii="calibri" w:hAnsi="calibri" w:eastAsia="calibri" w:cs="calibri"/>
          <w:sz w:val="24"/>
          <w:szCs w:val="24"/>
          <w:b/>
        </w:rPr>
        <w:t xml:space="preserve">dla obiektów przemysłowych, małych centrów danych oraz projektów inteligentnych miast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zarządzanie dla rozwijających się małych i średnich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rozwijającą się siecią może szybko stać się skomplikowane, pochłaniając zasoby IT i ograniczając skalowalność.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zaawansowaną kontrolę bez zwiększania złożoności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pełnej funkcjonalności warstwy drugiej (L2) i kluczowej warstwy trzeciej: </w:t>
      </w:r>
      <w:r>
        <w:rPr>
          <w:rFonts w:ascii="calibri" w:hAnsi="calibri" w:eastAsia="calibri" w:cs="calibri"/>
          <w:sz w:val="24"/>
          <w:szCs w:val="24"/>
        </w:rPr>
        <w:t xml:space="preserve">obsługuje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dla sektora SMB funkcje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ramach jednego urządzenia</w:t>
      </w:r>
      <w:r>
        <w:rPr>
          <w:rFonts w:ascii="calibri" w:hAnsi="calibri" w:eastAsia="calibri" w:cs="calibri"/>
          <w:sz w:val="24"/>
          <w:szCs w:val="24"/>
        </w:rPr>
        <w:t xml:space="preserve">, zmniejszając zależność od infrastruktury rdzeniowej i obniżając koszty operacyjne IT;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obsłudze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Nebula Cloud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wdrażanie i scentralizowane zarządzanie urządzeniami, lokalizacjami i organizacjami za pośrednictwem jednego interfejsu chmury</w:t>
      </w:r>
      <w:r>
        <w:rPr>
          <w:rFonts w:ascii="calibri" w:hAnsi="calibri" w:eastAsia="calibri" w:cs="calibri"/>
          <w:sz w:val="24"/>
          <w:szCs w:val="24"/>
        </w:rPr>
        <w:t xml:space="preserve">, w dowolnym czasie i miejscu;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trybowi sieciowemu AV: </w:t>
      </w:r>
      <w:r>
        <w:rPr>
          <w:rFonts w:ascii="calibri" w:hAnsi="calibri" w:eastAsia="calibri" w:cs="calibri"/>
          <w:sz w:val="24"/>
          <w:szCs w:val="24"/>
        </w:rPr>
        <w:t xml:space="preserve">zoptymalizowany pod kątem </w:t>
      </w:r>
      <w:r>
        <w:rPr>
          <w:rFonts w:ascii="calibri" w:hAnsi="calibri" w:eastAsia="calibri" w:cs="calibri"/>
          <w:sz w:val="24"/>
          <w:szCs w:val="24"/>
          <w:b/>
        </w:rPr>
        <w:t xml:space="preserve">aplikacji AVoIP o niskich opóźnieniach</w:t>
      </w:r>
      <w:r>
        <w:rPr>
          <w:rFonts w:ascii="calibri" w:hAnsi="calibri" w:eastAsia="calibri" w:cs="calibri"/>
          <w:sz w:val="24"/>
          <w:szCs w:val="24"/>
        </w:rPr>
        <w:t xml:space="preserve">, obsługujący </w:t>
      </w:r>
      <w:r>
        <w:rPr>
          <w:rFonts w:ascii="calibri" w:hAnsi="calibri" w:eastAsia="calibri" w:cs="calibri"/>
          <w:sz w:val="24"/>
          <w:szCs w:val="24"/>
          <w:b/>
        </w:rPr>
        <w:t xml:space="preserve">systemy Digital Signage oraz konferencje</w:t>
      </w:r>
      <w:r>
        <w:rPr>
          <w:rFonts w:ascii="calibri" w:hAnsi="calibri" w:eastAsia="calibri" w:cs="calibri"/>
          <w:sz w:val="24"/>
          <w:szCs w:val="24"/>
        </w:rPr>
        <w:t xml:space="preserve">.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zwiększoną wydajność audio dla standardów Dante i AES67</w:t>
      </w:r>
      <w:r>
        <w:rPr>
          <w:rFonts w:ascii="calibri" w:hAnsi="calibri" w:eastAsia="calibri" w:cs="calibri"/>
          <w:sz w:val="24"/>
          <w:szCs w:val="24"/>
        </w:rPr>
        <w:t xml:space="preserve">, otwierając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nowe możliwości serwisowe bez konieczności inwestowania w specjalistyczny sprzęt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zgodności z TAA: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spełnia wymogi </w:t>
      </w:r>
      <w:r>
        <w:rPr>
          <w:rFonts w:ascii="calibri" w:hAnsi="calibri" w:eastAsia="calibri" w:cs="calibri"/>
          <w:sz w:val="24"/>
          <w:szCs w:val="24"/>
          <w:b/>
        </w:rPr>
        <w:t xml:space="preserve">amerykańskiej ustawy o umowach handlowych (TAA – Trade Agreements Act)</w:t>
      </w:r>
      <w:r>
        <w:rPr>
          <w:rFonts w:ascii="calibri" w:hAnsi="calibri" w:eastAsia="calibri" w:cs="calibri"/>
          <w:sz w:val="24"/>
          <w:szCs w:val="24"/>
        </w:rPr>
        <w:t xml:space="preserve">. Oznacza zgodność z </w:t>
      </w:r>
      <w:r>
        <w:rPr>
          <w:rFonts w:ascii="calibri" w:hAnsi="calibri" w:eastAsia="calibri" w:cs="calibri"/>
          <w:sz w:val="24"/>
          <w:szCs w:val="24"/>
          <w:b/>
        </w:rPr>
        <w:t xml:space="preserve">rygorystycznymi przepisami rządowymi,</w:t>
      </w:r>
      <w:r>
        <w:rPr>
          <w:rFonts w:ascii="calibri" w:hAnsi="calibri" w:eastAsia="calibri" w:cs="calibri"/>
          <w:sz w:val="24"/>
          <w:szCs w:val="24"/>
        </w:rPr>
        <w:t xml:space="preserve"> które wymagają, aby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pochodziły z uprawnionych (wyznaczonych) krajów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https://www.zyxel.com/pl/pl/products/switch/24-48-port-gbe-and-2-5g-l3-access-switch-with-4-10g-uplink-xmg2230-series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switch/24-48-port-gbe-and-2-5g-l3-access-switch-with-4-10g-uplink-xmg2230-serie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zyxel.com/pl/pl/products/nebula-cloud-center/cloud-networking-management-nebula-control-center" TargetMode="External"/><Relationship Id="rId10" Type="http://schemas.openxmlformats.org/officeDocument/2006/relationships/hyperlink" Target="http://zyxel.biuroprasowe.pl/word/?hash=d044b7210844e4eb0453c821fae6bef6&amp;id=212432&amp;typ=epr%20https:/www.zyxel.com/pl/pl/products/switch/24-48-port-gbe-and-2-5g-l3-access-switch-with-4-10g-uplink-xmg2230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2026-03-25T16:00:26+01:00</dcterms:created>
  <dcterms:modified xsi:type="dcterms:W3CDTF">2026-03-25T16:00:26+01:00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