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rozpoczyna nową erę multigigabitowych połączeń PoE o dużej mocy dzięki serii XMG2230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przełączniki dostępowe warstwy trzeciej zapewniają multigigabitową wydajność, wysoką moc zasilania PoE oraz konstrukcję odporną na awarie, dopasowaną do potrzeb nowoczesnych sieci w małych i średnich firmach.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, lider w dostarczaniu bezpiecznych i opartych na sztucznej inteligencji rozwiązań sieciowych w chmurze, </w:t>
      </w:r>
      <w:r>
        <w:rPr>
          <w:rFonts w:ascii="calibri" w:hAnsi="calibri" w:eastAsia="calibri" w:cs="calibri"/>
          <w:sz w:val="24"/>
          <w:szCs w:val="24"/>
        </w:rPr>
        <w:t xml:space="preserve">ogłosił dzisiaj wprowadzenie na rynek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serii XMG2230</w:t>
        </w:r>
      </w:hyperlink>
      <w:r>
        <w:rPr>
          <w:rFonts w:ascii="calibri" w:hAnsi="calibri" w:eastAsia="calibri" w:cs="calibri"/>
          <w:sz w:val="24"/>
          <w:szCs w:val="24"/>
        </w:rPr>
        <w:t xml:space="preserve">, nowej generacji </w:t>
      </w:r>
      <w:r>
        <w:rPr>
          <w:rFonts w:ascii="calibri" w:hAnsi="calibri" w:eastAsia="calibri" w:cs="calibri"/>
          <w:sz w:val="24"/>
          <w:szCs w:val="24"/>
          <w:b/>
        </w:rPr>
        <w:t xml:space="preserve">multigigabitowych przełączników dostępowych warstwy trzeciej (L3) z obsługą PoE</w:t>
      </w:r>
      <w:r>
        <w:rPr>
          <w:rFonts w:ascii="calibri" w:hAnsi="calibri" w:eastAsia="calibri" w:cs="calibri"/>
          <w:sz w:val="24"/>
          <w:szCs w:val="24"/>
        </w:rPr>
        <w:t xml:space="preserve">. Zaprojektowana została w celu uproszczenia i optymalizacji sieci w małych i średnich firmach.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ze wzrostem złożoności środowisk biznesowych, w których </w:t>
      </w:r>
      <w:r>
        <w:rPr>
          <w:rFonts w:ascii="calibri" w:hAnsi="calibri" w:eastAsia="calibri" w:cs="calibri"/>
          <w:sz w:val="24"/>
          <w:szCs w:val="24"/>
          <w:b/>
        </w:rPr>
        <w:t xml:space="preserve">punkty dostępowe WiFi 6/7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systemy monitoringu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terminale płatnicze (POS)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serwery NAS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urządzenia końcowe IoT</w:t>
      </w:r>
      <w:r>
        <w:rPr>
          <w:rFonts w:ascii="calibri" w:hAnsi="calibri" w:eastAsia="calibri" w:cs="calibri"/>
          <w:sz w:val="24"/>
          <w:szCs w:val="24"/>
        </w:rPr>
        <w:t xml:space="preserve"> konkurują o przepustowość i zasilanie, </w:t>
      </w:r>
      <w:r>
        <w:rPr>
          <w:rFonts w:ascii="calibri" w:hAnsi="calibri" w:eastAsia="calibri" w:cs="calibri"/>
          <w:sz w:val="24"/>
          <w:szCs w:val="24"/>
          <w:b/>
        </w:rPr>
        <w:t xml:space="preserve">seria XMG2230</w:t>
      </w:r>
      <w:r>
        <w:rPr>
          <w:rFonts w:ascii="calibri" w:hAnsi="calibri" w:eastAsia="calibri" w:cs="calibri"/>
          <w:sz w:val="24"/>
          <w:szCs w:val="24"/>
        </w:rPr>
        <w:t xml:space="preserve"> zapewnia </w:t>
      </w:r>
      <w:r>
        <w:rPr>
          <w:rFonts w:ascii="calibri" w:hAnsi="calibri" w:eastAsia="calibri" w:cs="calibri"/>
          <w:sz w:val="24"/>
          <w:szCs w:val="24"/>
          <w:b/>
        </w:rPr>
        <w:t xml:space="preserve">szybką łączność multigigabitową, obsługę PoE o dużej mocy oraz funkcje łatwego zarządzania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Seria XMG2230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została zaprojektowana dla małych i średnich przedsiębiorstw, które potrzebują mocy klasy korporacyjnej bez złożoności na poziomie korporacyjnym</w:t>
      </w:r>
      <w:r>
        <w:rPr>
          <w:rFonts w:ascii="calibri" w:hAnsi="calibri" w:eastAsia="calibri" w:cs="calibri"/>
          <w:sz w:val="24"/>
          <w:szCs w:val="24"/>
        </w:rPr>
        <w:t xml:space="preserve"> —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Norbert Ogłoziński</w:t>
      </w:r>
      <w:r>
        <w:rPr>
          <w:rFonts w:ascii="calibri" w:hAnsi="calibri" w:eastAsia="calibri" w:cs="calibri"/>
          <w:sz w:val="24"/>
          <w:szCs w:val="24"/>
        </w:rPr>
        <w:t xml:space="preserve">, Country Sales Manager,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Polska</w:t>
      </w:r>
      <w:r>
        <w:rPr>
          <w:rFonts w:ascii="calibri" w:hAnsi="calibri" w:eastAsia="calibri" w:cs="calibri"/>
          <w:sz w:val="24"/>
          <w:szCs w:val="24"/>
        </w:rPr>
        <w:t xml:space="preserve">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Łącząc wydajność multigigabitową, obsługę PoE o dużej mocy, odporną konstrukcję i elastyczne zarządzanie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pomagamy firmom budować solidne podstawy sieciowe w nowej erze niezawodnej łączności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Przyszłościowe sieci bez nadwyrężania budżetu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małe i średnie przedsiębiorstwa modernizują sieci bez luksusu budżetów wielkich korporacji, </w:t>
      </w:r>
      <w:r>
        <w:rPr>
          <w:rFonts w:ascii="calibri" w:hAnsi="calibri" w:eastAsia="calibri" w:cs="calibri"/>
          <w:sz w:val="24"/>
          <w:szCs w:val="24"/>
          <w:b/>
        </w:rPr>
        <w:t xml:space="preserve">seria XMG2230</w:t>
      </w:r>
      <w:r>
        <w:rPr>
          <w:rFonts w:ascii="calibri" w:hAnsi="calibri" w:eastAsia="calibri" w:cs="calibri"/>
          <w:sz w:val="24"/>
          <w:szCs w:val="24"/>
        </w:rPr>
        <w:t xml:space="preserve"> zapewnia </w:t>
      </w:r>
      <w:r>
        <w:rPr>
          <w:rFonts w:ascii="calibri" w:hAnsi="calibri" w:eastAsia="calibri" w:cs="calibri"/>
          <w:sz w:val="24"/>
          <w:szCs w:val="24"/>
          <w:b/>
        </w:rPr>
        <w:t xml:space="preserve">elastyczność </w:t>
      </w:r>
      <w:r>
        <w:rPr>
          <w:rFonts w:ascii="calibri" w:hAnsi="calibri" w:eastAsia="calibri" w:cs="calibri"/>
          <w:sz w:val="24"/>
          <w:szCs w:val="24"/>
        </w:rPr>
        <w:t xml:space="preserve">do obsługi zarówno </w:t>
      </w:r>
      <w:r>
        <w:rPr>
          <w:rFonts w:ascii="calibri" w:hAnsi="calibri" w:eastAsia="calibri" w:cs="calibri"/>
          <w:sz w:val="24"/>
          <w:szCs w:val="24"/>
          <w:b/>
        </w:rPr>
        <w:t xml:space="preserve">urządzeń nowej generacji</w:t>
      </w:r>
      <w:r>
        <w:rPr>
          <w:rFonts w:ascii="calibri" w:hAnsi="calibri" w:eastAsia="calibri" w:cs="calibri"/>
          <w:sz w:val="24"/>
          <w:szCs w:val="24"/>
        </w:rPr>
        <w:t xml:space="preserve">, jak i </w:t>
      </w:r>
      <w:r>
        <w:rPr>
          <w:rFonts w:ascii="calibri" w:hAnsi="calibri" w:eastAsia="calibri" w:cs="calibri"/>
          <w:sz w:val="24"/>
          <w:szCs w:val="24"/>
          <w:b/>
        </w:rPr>
        <w:t xml:space="preserve">tych już istniejących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bez konieczności kosztownej i uciążliwej modernizacji infrastruktury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Opcje portów o różnych prędkościach: </w:t>
      </w:r>
      <w:r>
        <w:rPr>
          <w:rFonts w:ascii="calibri" w:hAnsi="calibri" w:eastAsia="calibri" w:cs="calibri"/>
          <w:sz w:val="24"/>
          <w:szCs w:val="24"/>
        </w:rPr>
        <w:t xml:space="preserve">seria </w:t>
      </w:r>
      <w:r>
        <w:rPr>
          <w:rFonts w:ascii="calibri" w:hAnsi="calibri" w:eastAsia="calibri" w:cs="calibri"/>
          <w:sz w:val="24"/>
          <w:szCs w:val="24"/>
        </w:rPr>
        <w:t xml:space="preserve">składa się z dwóch modeli – </w:t>
      </w:r>
      <w:r>
        <w:rPr>
          <w:rFonts w:ascii="calibri" w:hAnsi="calibri" w:eastAsia="calibri" w:cs="calibri"/>
          <w:sz w:val="24"/>
          <w:szCs w:val="24"/>
          <w:b/>
        </w:rPr>
        <w:t xml:space="preserve">XMG2230-28HP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XMG2230-52HP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oferujących łączność 2,5G lub kombinację portów 1G i 2,5G, </w:t>
      </w:r>
      <w:r>
        <w:rPr>
          <w:rFonts w:ascii="calibri" w:hAnsi="calibri" w:eastAsia="calibri" w:cs="calibri"/>
          <w:sz w:val="24"/>
          <w:szCs w:val="24"/>
          <w:b/>
        </w:rPr>
        <w:t xml:space="preserve">dostosowując się do różnych wymagań urządzeń i unikając kosztownej wymiany okablowania</w:t>
      </w:r>
      <w:r>
        <w:rPr>
          <w:rFonts w:ascii="calibri" w:hAnsi="calibri" w:eastAsia="calibri" w:cs="calibri"/>
          <w:sz w:val="24"/>
          <w:szCs w:val="24"/>
        </w:rPr>
        <w:t xml:space="preserve">. Oba modele są wyposażone w </w:t>
      </w:r>
      <w:r>
        <w:rPr>
          <w:rFonts w:ascii="calibri" w:hAnsi="calibri" w:eastAsia="calibri" w:cs="calibri"/>
          <w:sz w:val="24"/>
          <w:szCs w:val="24"/>
          <w:b/>
        </w:rPr>
        <w:t xml:space="preserve">porty uplink 10G SFP+</w:t>
      </w:r>
      <w:r>
        <w:rPr>
          <w:rFonts w:ascii="calibri" w:hAnsi="calibri" w:eastAsia="calibri" w:cs="calibri"/>
          <w:sz w:val="24"/>
          <w:szCs w:val="24"/>
        </w:rPr>
        <w:t xml:space="preserve">, które agregują ruch szkieletowy w celu zapewnienia płynnych wideokonferencji lub agregacji łączy, </w:t>
      </w:r>
      <w:r>
        <w:rPr>
          <w:rFonts w:ascii="calibri" w:hAnsi="calibri" w:eastAsia="calibri" w:cs="calibri"/>
          <w:sz w:val="24"/>
          <w:szCs w:val="24"/>
          <w:b/>
        </w:rPr>
        <w:t xml:space="preserve">eliminując wąskie gardła i zapewniając zapas wydajności na przyszły rozwój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Sieć zawsze aktywna i wyjątkowo odporna: </w:t>
      </w:r>
      <w:r>
        <w:rPr>
          <w:rFonts w:ascii="calibri" w:hAnsi="calibri" w:eastAsia="calibri" w:cs="calibri"/>
          <w:sz w:val="24"/>
          <w:szCs w:val="24"/>
        </w:rPr>
        <w:t xml:space="preserve">podwójne źródła zasilania - </w:t>
      </w:r>
      <w:r>
        <w:rPr>
          <w:rFonts w:ascii="calibri" w:hAnsi="calibri" w:eastAsia="calibri" w:cs="calibri"/>
          <w:sz w:val="24"/>
          <w:szCs w:val="24"/>
          <w:b/>
        </w:rPr>
        <w:t xml:space="preserve">wbudowany zasilacz AC i opcjonalne wejście DC</w:t>
      </w:r>
      <w:r>
        <w:rPr>
          <w:rFonts w:ascii="calibri" w:hAnsi="calibri" w:eastAsia="calibri" w:cs="calibri"/>
          <w:sz w:val="24"/>
          <w:szCs w:val="24"/>
        </w:rPr>
        <w:t xml:space="preserve"> - pomagają </w:t>
      </w:r>
      <w:r>
        <w:rPr>
          <w:rFonts w:ascii="calibri" w:hAnsi="calibri" w:eastAsia="calibri" w:cs="calibri"/>
          <w:sz w:val="24"/>
          <w:szCs w:val="24"/>
          <w:b/>
        </w:rPr>
        <w:t xml:space="preserve">wyeliminować ryzyko wystąpienia pojedynczego punktu awarii w razie przerw w dostawie prądu</w:t>
      </w:r>
      <w:r>
        <w:rPr>
          <w:rFonts w:ascii="calibri" w:hAnsi="calibri" w:eastAsia="calibri" w:cs="calibri"/>
          <w:sz w:val="24"/>
          <w:szCs w:val="24"/>
        </w:rPr>
        <w:t xml:space="preserve">. Opcja </w:t>
      </w:r>
      <w:r>
        <w:rPr>
          <w:rFonts w:ascii="calibri" w:hAnsi="calibri" w:eastAsia="calibri" w:cs="calibri"/>
          <w:sz w:val="24"/>
          <w:szCs w:val="24"/>
          <w:b/>
        </w:rPr>
        <w:t xml:space="preserve">zewnętrznego zasilania DC zapewnia elastyczną redundancję</w:t>
      </w:r>
      <w:r>
        <w:rPr>
          <w:rFonts w:ascii="calibri" w:hAnsi="calibri" w:eastAsia="calibri" w:cs="calibri"/>
          <w:sz w:val="24"/>
          <w:szCs w:val="24"/>
        </w:rPr>
        <w:t xml:space="preserve"> – pozwala wykorzystać istniejącą infrastrukturę prądu stałego lub uruchomić zasilanie awaryjne tylko wtedy, gdy jest to konieczne. Dzięki temu zyskujesz bezpieczeństwo </w:t>
      </w:r>
      <w:r>
        <w:rPr>
          <w:rFonts w:ascii="calibri" w:hAnsi="calibri" w:eastAsia="calibri" w:cs="calibri"/>
          <w:sz w:val="24"/>
          <w:szCs w:val="24"/>
          <w:b/>
        </w:rPr>
        <w:t xml:space="preserve">bez konieczności inwestowania w drogie urządzenia z fabrycznie wbudowanym, podwójnym zasilaniem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Wysoka moc i skalowalne wsparcie PoE: </w:t>
      </w:r>
      <w:r>
        <w:rPr>
          <w:rFonts w:ascii="calibri" w:hAnsi="calibri" w:eastAsia="calibri" w:cs="calibri"/>
          <w:sz w:val="24"/>
          <w:szCs w:val="24"/>
        </w:rPr>
        <w:t xml:space="preserve">dzięki obsłudze standardów PoE++ oraz PoE+ przełączniki mogą zasilać dowolne urządzenia – od energochłonnych punktów dostępowych WiFi 6/7 po energooszczędne czujniki IoT. </w:t>
      </w:r>
      <w:r>
        <w:rPr>
          <w:rFonts w:ascii="calibri" w:hAnsi="calibri" w:eastAsia="calibri" w:cs="calibri"/>
          <w:sz w:val="24"/>
          <w:szCs w:val="24"/>
          <w:b/>
        </w:rPr>
        <w:t xml:space="preserve">Wysoki budżet mocy PoE</w:t>
      </w:r>
      <w:r>
        <w:rPr>
          <w:rFonts w:ascii="calibri" w:hAnsi="calibri" w:eastAsia="calibri" w:cs="calibri"/>
          <w:sz w:val="24"/>
          <w:szCs w:val="24"/>
        </w:rPr>
        <w:t xml:space="preserve"> (do 960 W przy zasilaniu AC) </w:t>
      </w:r>
      <w:r>
        <w:rPr>
          <w:rFonts w:ascii="calibri" w:hAnsi="calibri" w:eastAsia="calibri" w:cs="calibri"/>
          <w:sz w:val="24"/>
          <w:szCs w:val="24"/>
          <w:b/>
        </w:rPr>
        <w:t xml:space="preserve">eliminuje potrzebę stosowania zewnętrznych iniektorów i upraszcza instalację</w:t>
      </w:r>
      <w:r>
        <w:rPr>
          <w:rFonts w:ascii="calibri" w:hAnsi="calibri" w:eastAsia="calibri" w:cs="calibri"/>
          <w:sz w:val="24"/>
          <w:szCs w:val="24"/>
        </w:rPr>
        <w:t xml:space="preserve">. Wykorzystując zewnętrzne źródła prądu stałego (DC), </w:t>
      </w:r>
      <w:r>
        <w:rPr>
          <w:rFonts w:ascii="calibri" w:hAnsi="calibri" w:eastAsia="calibri" w:cs="calibri"/>
          <w:sz w:val="24"/>
          <w:szCs w:val="24"/>
          <w:b/>
        </w:rPr>
        <w:t xml:space="preserve">moc PoE można zwiększyć aż do 2400 W</w:t>
      </w:r>
      <w:r>
        <w:rPr>
          <w:rFonts w:ascii="calibri" w:hAnsi="calibri" w:eastAsia="calibri" w:cs="calibri"/>
          <w:sz w:val="24"/>
          <w:szCs w:val="24"/>
        </w:rPr>
        <w:t xml:space="preserve">, co czyni te urządzenia idealnym rozwiązaniem </w:t>
      </w:r>
      <w:r>
        <w:rPr>
          <w:rFonts w:ascii="calibri" w:hAnsi="calibri" w:eastAsia="calibri" w:cs="calibri"/>
          <w:sz w:val="24"/>
          <w:szCs w:val="24"/>
          <w:b/>
        </w:rPr>
        <w:t xml:space="preserve">dla obiektów przemysłowych, małych centrów danych oraz projektów inteligentnych miast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Elastyczne zarządzanie dla rozwijających się małych i średnich przedsiębiorstw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Zarządzanie rozwijającą się siecią może szybko stać się skomplikowane, pochłaniając zasoby IT i ograniczając skalowalność. </w:t>
      </w:r>
      <w:r>
        <w:rPr>
          <w:rFonts w:ascii="calibri" w:hAnsi="calibri" w:eastAsia="calibri" w:cs="calibri"/>
          <w:sz w:val="24"/>
          <w:szCs w:val="24"/>
          <w:b/>
        </w:rPr>
        <w:t xml:space="preserve">Seria XMG2230</w:t>
      </w:r>
      <w:r>
        <w:rPr>
          <w:rFonts w:ascii="calibri" w:hAnsi="calibri" w:eastAsia="calibri" w:cs="calibri"/>
          <w:sz w:val="24"/>
          <w:szCs w:val="24"/>
        </w:rPr>
        <w:t xml:space="preserve"> zapewnia zaawansowaną kontrolę bez zwiększania złożoności dzięki: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pełnej funkcjonalności warstwy drugiej (L2) i kluczowej warstwy trzeciej: </w:t>
      </w:r>
      <w:r>
        <w:rPr>
          <w:rFonts w:ascii="calibri" w:hAnsi="calibri" w:eastAsia="calibri" w:cs="calibri"/>
          <w:sz w:val="24"/>
          <w:szCs w:val="24"/>
        </w:rPr>
        <w:t xml:space="preserve">obsługuje wszystkie </w:t>
      </w:r>
      <w:r>
        <w:rPr>
          <w:rFonts w:ascii="calibri" w:hAnsi="calibri" w:eastAsia="calibri" w:cs="calibri"/>
          <w:sz w:val="24"/>
          <w:szCs w:val="24"/>
          <w:b/>
        </w:rPr>
        <w:t xml:space="preserve">kluczowe dla sektora SMB funkcje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ramach jednego urządzenia</w:t>
      </w:r>
      <w:r>
        <w:rPr>
          <w:rFonts w:ascii="calibri" w:hAnsi="calibri" w:eastAsia="calibri" w:cs="calibri"/>
          <w:sz w:val="24"/>
          <w:szCs w:val="24"/>
        </w:rPr>
        <w:t xml:space="preserve">, zmniejszając zależność od infrastruktury rdzeniowej i obniżając koszty operacyjne IT;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obsłudze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Nebula Cloud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: </w:t>
      </w:r>
      <w:r>
        <w:rPr>
          <w:rFonts w:ascii="calibri" w:hAnsi="calibri" w:eastAsia="calibri" w:cs="calibri"/>
          <w:sz w:val="24"/>
          <w:szCs w:val="24"/>
        </w:rPr>
        <w:t xml:space="preserve">umożliwia </w:t>
      </w:r>
      <w:r>
        <w:rPr>
          <w:rFonts w:ascii="calibri" w:hAnsi="calibri" w:eastAsia="calibri" w:cs="calibri"/>
          <w:sz w:val="24"/>
          <w:szCs w:val="24"/>
          <w:b/>
        </w:rPr>
        <w:t xml:space="preserve">szybkie wdrażanie i scentralizowane zarządzanie urządzeniami, lokalizacjami i organizacjami za pośrednictwem jednego interfejsu chmury</w:t>
      </w:r>
      <w:r>
        <w:rPr>
          <w:rFonts w:ascii="calibri" w:hAnsi="calibri" w:eastAsia="calibri" w:cs="calibri"/>
          <w:sz w:val="24"/>
          <w:szCs w:val="24"/>
        </w:rPr>
        <w:t xml:space="preserve">, w dowolnym czasie i miejscu;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trybowi sieciowemu AV: </w:t>
      </w:r>
      <w:r>
        <w:rPr>
          <w:rFonts w:ascii="calibri" w:hAnsi="calibri" w:eastAsia="calibri" w:cs="calibri"/>
          <w:sz w:val="24"/>
          <w:szCs w:val="24"/>
        </w:rPr>
        <w:t xml:space="preserve">zoptymalizowany pod kątem </w:t>
      </w:r>
      <w:r>
        <w:rPr>
          <w:rFonts w:ascii="calibri" w:hAnsi="calibri" w:eastAsia="calibri" w:cs="calibri"/>
          <w:sz w:val="24"/>
          <w:szCs w:val="24"/>
          <w:b/>
        </w:rPr>
        <w:t xml:space="preserve">aplikacji AVoIP o niskich opóźnieniach</w:t>
      </w:r>
      <w:r>
        <w:rPr>
          <w:rFonts w:ascii="calibri" w:hAnsi="calibri" w:eastAsia="calibri" w:cs="calibri"/>
          <w:sz w:val="24"/>
          <w:szCs w:val="24"/>
        </w:rPr>
        <w:t xml:space="preserve">, obsługujący </w:t>
      </w:r>
      <w:r>
        <w:rPr>
          <w:rFonts w:ascii="calibri" w:hAnsi="calibri" w:eastAsia="calibri" w:cs="calibri"/>
          <w:sz w:val="24"/>
          <w:szCs w:val="24"/>
          <w:b/>
        </w:rPr>
        <w:t xml:space="preserve">systemy Digital Signage oraz konferencje</w:t>
      </w:r>
      <w:r>
        <w:rPr>
          <w:rFonts w:ascii="calibri" w:hAnsi="calibri" w:eastAsia="calibri" w:cs="calibri"/>
          <w:sz w:val="24"/>
          <w:szCs w:val="24"/>
        </w:rPr>
        <w:t xml:space="preserve">. Oferuje </w:t>
      </w:r>
      <w:r>
        <w:rPr>
          <w:rFonts w:ascii="calibri" w:hAnsi="calibri" w:eastAsia="calibri" w:cs="calibri"/>
          <w:sz w:val="24"/>
          <w:szCs w:val="24"/>
          <w:b/>
        </w:rPr>
        <w:t xml:space="preserve">zwiększoną wydajność audio dla standardów Dante i AES67</w:t>
      </w:r>
      <w:r>
        <w:rPr>
          <w:rFonts w:ascii="calibri" w:hAnsi="calibri" w:eastAsia="calibri" w:cs="calibri"/>
          <w:sz w:val="24"/>
          <w:szCs w:val="24"/>
        </w:rPr>
        <w:t xml:space="preserve">, otwierając </w:t>
      </w:r>
      <w:r>
        <w:rPr>
          <w:rFonts w:ascii="calibri" w:hAnsi="calibri" w:eastAsia="calibri" w:cs="calibri"/>
          <w:sz w:val="24"/>
          <w:szCs w:val="24"/>
          <w:b/>
        </w:rPr>
        <w:t xml:space="preserve">nowe możliwości serwisowe bez konieczności inwestowania w specjalistyczny sprzęt</w:t>
      </w:r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zgodności z TAA: </w:t>
      </w:r>
      <w:r>
        <w:rPr>
          <w:rFonts w:ascii="calibri" w:hAnsi="calibri" w:eastAsia="calibri" w:cs="calibri"/>
          <w:sz w:val="24"/>
          <w:szCs w:val="24"/>
          <w:b/>
        </w:rPr>
        <w:t xml:space="preserve">seria XMG2230</w:t>
      </w:r>
      <w:r>
        <w:rPr>
          <w:rFonts w:ascii="calibri" w:hAnsi="calibri" w:eastAsia="calibri" w:cs="calibri"/>
          <w:sz w:val="24"/>
          <w:szCs w:val="24"/>
        </w:rPr>
        <w:t xml:space="preserve"> spełnia wymogi </w:t>
      </w:r>
      <w:r>
        <w:rPr>
          <w:rFonts w:ascii="calibri" w:hAnsi="calibri" w:eastAsia="calibri" w:cs="calibri"/>
          <w:sz w:val="24"/>
          <w:szCs w:val="24"/>
          <w:b/>
        </w:rPr>
        <w:t xml:space="preserve">amerykańskiej ustawy o umowach handlowych (TAA – Trade Agreements Act)</w:t>
      </w:r>
      <w:r>
        <w:rPr>
          <w:rFonts w:ascii="calibri" w:hAnsi="calibri" w:eastAsia="calibri" w:cs="calibri"/>
          <w:sz w:val="24"/>
          <w:szCs w:val="24"/>
        </w:rPr>
        <w:t xml:space="preserve">. Oznacza zgodność z </w:t>
      </w:r>
      <w:r>
        <w:rPr>
          <w:rFonts w:ascii="calibri" w:hAnsi="calibri" w:eastAsia="calibri" w:cs="calibri"/>
          <w:sz w:val="24"/>
          <w:szCs w:val="24"/>
          <w:b/>
        </w:rPr>
        <w:t xml:space="preserve">rygorystycznymi przepisami rządowymi,</w:t>
      </w:r>
      <w:r>
        <w:rPr>
          <w:rFonts w:ascii="calibri" w:hAnsi="calibri" w:eastAsia="calibri" w:cs="calibri"/>
          <w:sz w:val="24"/>
          <w:szCs w:val="24"/>
        </w:rPr>
        <w:t xml:space="preserve"> które wymagają, aby </w:t>
      </w:r>
      <w:r>
        <w:rPr>
          <w:rFonts w:ascii="calibri" w:hAnsi="calibri" w:eastAsia="calibri" w:cs="calibri"/>
          <w:sz w:val="24"/>
          <w:szCs w:val="24"/>
          <w:b/>
        </w:rPr>
        <w:t xml:space="preserve">produkty pochodziły z uprawnionych (wyznaczonych) krajów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można znaleźć na stronie: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https://www.zyxel.com/pl/pl/products/switch/24-48-port-gbe-and-2-5g-l3-access-switch-with-4-10g-uplink-xmg2230-series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yxel.com/pl/pl/products/switch/24-48-port-gbe-and-2-5g-l3-access-switch-with-4-10g-uplink-xmg2230-series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www.zyxel.com/pl/pl/products/nebula-cloud-center/cloud-networking-management-nebula-control-center" TargetMode="External"/><Relationship Id="rId10" Type="http://schemas.openxmlformats.org/officeDocument/2006/relationships/hyperlink" Target="http://zyxel.biuroprasowe.pl/word/?hash=d044b7210844e4eb0453c821fae6bef6&amp;id=212432&amp;typ=epr%20https:/www.zyxel.com/pl/pl/products/switch/24-48-port-gbe-and-2-5g-l3-access-switch-with-4-10g-uplink-xmg2230-ser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2026-10-12T10:03:46+02:00</dcterms:created>
  <dcterms:modified xsi:type="dcterms:W3CDTF">2026-10-12T10:03:46+02:00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