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na rynek serię XS1935. Ma na celu wyeliminowanie wąskich gardeł w sieciach rozwijających się SMB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przełączniki 10G o przepustowości multigigabitowej łączą łączność z pełną prędkością z elastycznym zarządzaniem. Pomagają małym i średnim przedsiębiorstwom (SMB) korzystać z najnowszych technologii i usług, a także skalować działalność bez kosztownych modernizacji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wprowadzenie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serii XS1935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</w:t>
      </w:r>
      <w:r>
        <w:rPr>
          <w:rFonts w:ascii="calibri" w:hAnsi="calibri" w:eastAsia="calibri" w:cs="calibri"/>
          <w:sz w:val="24"/>
          <w:szCs w:val="24"/>
          <w:b/>
        </w:rPr>
        <w:t xml:space="preserve">multigigabitowe inteligentne przełączniki zarządzalne 10G Lite-L3</w:t>
      </w:r>
      <w:r>
        <w:rPr>
          <w:rFonts w:ascii="calibri" w:hAnsi="calibri" w:eastAsia="calibri" w:cs="calibri"/>
          <w:sz w:val="24"/>
          <w:szCs w:val="24"/>
        </w:rPr>
        <w:t xml:space="preserve">. Nowa seria zapewnia SMB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 niezbędną do obsługi urządzeń wymagających dużej przepustowości</w:t>
      </w:r>
      <w:r>
        <w:rPr>
          <w:rFonts w:ascii="calibri" w:hAnsi="calibri" w:eastAsia="calibri" w:cs="calibri"/>
          <w:sz w:val="24"/>
          <w:szCs w:val="24"/>
        </w:rPr>
        <w:t xml:space="preserve">, a jednocześnie oferuje możliwość rozbudowy w miarę wzrostu wymagań sieciowych.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Powolne przesyłanie plików, zawieszające się kopie zapasowe, opóźnienia przy dostępie dla wielu użytkowników oraz buforowanie nagrań z kamer bezpieczeństwa – wszystko to może zakłócać codzienną pracę. W wielu przypadkach problemem nie jest najnowszy serwer, punkt dostępowy WiFi czy kamera, ale starszy przełącznik sieciowy, który nie nadąża za nowszymi podłączonymi urządzeniami. Seria </w:t>
      </w:r>
      <w:r>
        <w:rPr>
          <w:rFonts w:ascii="calibri" w:hAnsi="calibri" w:eastAsia="calibri" w:cs="calibri"/>
          <w:sz w:val="24"/>
          <w:szCs w:val="24"/>
          <w:b/>
        </w:rPr>
        <w:t xml:space="preserve">XS1935</w:t>
      </w:r>
      <w:r>
        <w:rPr>
          <w:rFonts w:ascii="calibri" w:hAnsi="calibri" w:eastAsia="calibri" w:cs="calibri"/>
          <w:sz w:val="24"/>
          <w:szCs w:val="24"/>
        </w:rPr>
        <w:t xml:space="preserve"> pomaga małym i średnim przedsiębiorstwom </w:t>
      </w:r>
      <w:r>
        <w:rPr>
          <w:rFonts w:ascii="calibri" w:hAnsi="calibri" w:eastAsia="calibri" w:cs="calibri"/>
          <w:sz w:val="24"/>
          <w:szCs w:val="24"/>
          <w:b/>
        </w:rPr>
        <w:t xml:space="preserve">wyeliminować to wąskie gardło</w:t>
      </w:r>
      <w:r>
        <w:rPr>
          <w:rFonts w:ascii="calibri" w:hAnsi="calibri" w:eastAsia="calibri" w:cs="calibri"/>
          <w:sz w:val="24"/>
          <w:szCs w:val="24"/>
        </w:rPr>
        <w:t xml:space="preserve">, udostępniając im jednocześnie zaawansowane funkcje klasy korporacyjnej.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Małe firmy nie powinny być zmuszone do wymiany całej sieci tylko dlatego, że przełącznik stał się jej słabym ogniwem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zapewnia im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wydajność 10G niezbędną do lepszego wykorzystania technologii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 której już polegają, a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elastyczność pozwalającą na dodawanie nowych urządzeń i funkcji w miarę rozwoju firmy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Oznacza to,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mogą inwestować w to, czego potrzebują teraz, mając jednocześnie pewność, że ich sieć jest gotowa na przyszłe wyzwania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Eliminacja wąskich gardeł przepustowości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</w:rPr>
        <w:t xml:space="preserve">XS1935</w:t>
      </w:r>
      <w:r>
        <w:rPr>
          <w:rFonts w:ascii="calibri" w:hAnsi="calibri" w:eastAsia="calibri" w:cs="calibri"/>
          <w:sz w:val="24"/>
          <w:szCs w:val="24"/>
        </w:rPr>
        <w:t xml:space="preserve"> zapewnia SMB przepustowość pozwalającą nadążyć za wymagającym ruchem sieciowym. Osiąga się to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pełnej przepustowości 10G: </w:t>
      </w:r>
      <w:r>
        <w:rPr>
          <w:rFonts w:ascii="calibri" w:hAnsi="calibri" w:eastAsia="calibri" w:cs="calibri"/>
          <w:sz w:val="24"/>
          <w:szCs w:val="24"/>
        </w:rPr>
        <w:t xml:space="preserve">każdy port oferuje </w:t>
      </w:r>
      <w:r>
        <w:rPr>
          <w:rFonts w:ascii="calibri" w:hAnsi="calibri" w:eastAsia="calibri" w:cs="calibri"/>
          <w:sz w:val="24"/>
          <w:szCs w:val="24"/>
          <w:b/>
        </w:rPr>
        <w:t xml:space="preserve">ultraszybką prędkość do 10G</w:t>
      </w:r>
      <w:r>
        <w:rPr>
          <w:rFonts w:ascii="calibri" w:hAnsi="calibri" w:eastAsia="calibri" w:cs="calibri"/>
          <w:sz w:val="24"/>
          <w:szCs w:val="24"/>
        </w:rPr>
        <w:t xml:space="preserve"> dla operacji, które wymagają intensywnego przesyłu danych i nowoczesnych procesów roboczych.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także punkty dostępowe WiFi 7, serwery o wysokiej wydajności, systemy NAS/pamięci masowej, profesjonalne urządzenia AV-over-IP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z wieloma kamerami oparte na sztucznej inteligencji dla inteligentnych miast</w:t>
      </w:r>
      <w:r>
        <w:rPr>
          <w:rFonts w:ascii="calibri" w:hAnsi="calibri" w:eastAsia="calibri" w:cs="calibri"/>
          <w:sz w:val="24"/>
          <w:szCs w:val="24"/>
        </w:rPr>
        <w:t xml:space="preserve">. Kompaktowe konstrukcje z 10 i 12 portami zapewniają SMB przepustowość dostosowaną do ich potrzeb bez konieczności ponoszenia kosztów związanych z niepotrzebną skalowalnością.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opcji całkowicie światłowodowej: </w:t>
      </w: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XS1935-12F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 światłowodową 10G na każdym porci</w:t>
      </w:r>
      <w:r>
        <w:rPr>
          <w:rFonts w:ascii="calibri" w:hAnsi="calibri" w:eastAsia="calibri" w:cs="calibri"/>
          <w:sz w:val="24"/>
          <w:szCs w:val="24"/>
        </w:rPr>
        <w:t xml:space="preserve">e. SMB mogą wykorzystywać go do </w:t>
      </w:r>
      <w:r>
        <w:rPr>
          <w:rFonts w:ascii="calibri" w:hAnsi="calibri" w:eastAsia="calibri" w:cs="calibri"/>
          <w:sz w:val="24"/>
          <w:szCs w:val="24"/>
          <w:b/>
        </w:rPr>
        <w:t xml:space="preserve">agregacji sieci lub połączeń na większe odległości</w:t>
      </w:r>
      <w:r>
        <w:rPr>
          <w:rFonts w:ascii="calibri" w:hAnsi="calibri" w:eastAsia="calibri" w:cs="calibri"/>
          <w:sz w:val="24"/>
          <w:szCs w:val="24"/>
        </w:rPr>
        <w:t xml:space="preserve"> bez konieczności przechodzenia na większy przełącznik klasy korporacyjnej.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urządzeń o dużym zapotrzebowaniu na energię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nowsze urządzenia sieciowe wymagają nie tylko przepustowości, ale także większej mocy, może to szybko przekroczyć możliwości starszych przełączników PoE.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PoE++ z mocą do 90 W na port: </w:t>
      </w:r>
      <w:r>
        <w:rPr>
          <w:rFonts w:ascii="calibri" w:hAnsi="calibri" w:eastAsia="calibri" w:cs="calibri"/>
          <w:sz w:val="24"/>
          <w:szCs w:val="24"/>
        </w:rPr>
        <w:t xml:space="preserve">łączny budżet mocy </w:t>
      </w:r>
      <w:r>
        <w:rPr>
          <w:rFonts w:ascii="calibri" w:hAnsi="calibri" w:eastAsia="calibri" w:cs="calibri"/>
          <w:sz w:val="24"/>
          <w:szCs w:val="24"/>
          <w:b/>
        </w:rPr>
        <w:t xml:space="preserve">wynoszący 400 W</w:t>
      </w:r>
      <w:r>
        <w:rPr>
          <w:rFonts w:ascii="calibri" w:hAnsi="calibri" w:eastAsia="calibri" w:cs="calibri"/>
          <w:sz w:val="24"/>
          <w:szCs w:val="24"/>
        </w:rPr>
        <w:t xml:space="preserve"> pozwala na zasilanie takich urządzeń, jak punkty dostępowe WiFi 7, kamery PTZ, inteligentne urządzenia IoT oraz systemy wideokonferencyjne. Dostarczanie zasilania i łączności sieciowej za pomocą tego samego kabla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również wymagania dotyczące okablowania i upraszcza wdrożenie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Większa elastyczność dla rozwijających się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SMB mogą zacząć od funkcji sieciowych, których potrzebują dzisiaj, zachowując jednocześnie możliwość dodawania bardziej zaawansowanych funkcji w miarę rozwoju sieci. Jest to możliwe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elastycznemu zarządzaniu dzięki NebulaFlex: </w:t>
      </w:r>
      <w:r>
        <w:rPr>
          <w:rFonts w:ascii="calibri" w:hAnsi="calibri" w:eastAsia="calibri" w:cs="calibri"/>
          <w:sz w:val="24"/>
          <w:szCs w:val="24"/>
        </w:rPr>
        <w:t xml:space="preserve">użytkownicy mogą w dowolnym momencie </w:t>
      </w:r>
      <w:r>
        <w:rPr>
          <w:rFonts w:ascii="calibri" w:hAnsi="calibri" w:eastAsia="calibri" w:cs="calibri"/>
          <w:sz w:val="24"/>
          <w:szCs w:val="24"/>
          <w:b/>
        </w:rPr>
        <w:t xml:space="preserve">przełączać się</w:t>
      </w:r>
      <w:r>
        <w:rPr>
          <w:rFonts w:ascii="calibri" w:hAnsi="calibri" w:eastAsia="calibri" w:cs="calibri"/>
          <w:sz w:val="24"/>
          <w:szCs w:val="24"/>
        </w:rPr>
        <w:t xml:space="preserve"> między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zarządzaniem lokalnym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zarządzaniem w chmurze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łącząc kontrolę lokalną z możliwością scentralizowanego zarządzania zdalnego.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kontroli sieci na poziomie Lite-L3: </w:t>
      </w:r>
      <w:r>
        <w:rPr>
          <w:rFonts w:ascii="calibri" w:hAnsi="calibri" w:eastAsia="calibri" w:cs="calibri"/>
          <w:sz w:val="24"/>
          <w:szCs w:val="24"/>
        </w:rPr>
        <w:t xml:space="preserve">funkcje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VLAN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Quality of Service</w:t>
      </w:r>
      <w:r>
        <w:rPr>
          <w:rFonts w:ascii="calibri" w:hAnsi="calibri" w:eastAsia="calibri" w:cs="calibri"/>
          <w:sz w:val="24"/>
          <w:szCs w:val="24"/>
        </w:rPr>
        <w:t xml:space="preserve"> (QoS), </w:t>
      </w:r>
      <w:r>
        <w:rPr>
          <w:rFonts w:ascii="calibri" w:hAnsi="calibri" w:eastAsia="calibri" w:cs="calibri"/>
          <w:sz w:val="24"/>
          <w:szCs w:val="24"/>
          <w:b/>
        </w:rPr>
        <w:t xml:space="preserve">agregacja łączy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statyczny routing warstwy L3</w:t>
      </w:r>
      <w:r>
        <w:rPr>
          <w:rFonts w:ascii="calibri" w:hAnsi="calibri" w:eastAsia="calibri" w:cs="calibri"/>
          <w:sz w:val="24"/>
          <w:szCs w:val="24"/>
        </w:rPr>
        <w:t xml:space="preserve"> pomagają firmom zarządzać ruchem sieciowym, segmentować sieci i utrzymywać wydajność.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aktualizacji w razie potrzeby: </w:t>
      </w:r>
      <w:r>
        <w:rPr>
          <w:rFonts w:ascii="calibri" w:hAnsi="calibri" w:eastAsia="calibri" w:cs="calibri"/>
          <w:sz w:val="24"/>
          <w:szCs w:val="24"/>
        </w:rPr>
        <w:t xml:space="preserve">zaawansowany </w:t>
      </w:r>
      <w:r>
        <w:rPr>
          <w:rFonts w:ascii="calibri" w:hAnsi="calibri" w:eastAsia="calibri" w:cs="calibri"/>
          <w:sz w:val="24"/>
          <w:szCs w:val="24"/>
          <w:b/>
        </w:rPr>
        <w:t xml:space="preserve">routing warstwy L3</w:t>
      </w:r>
      <w:r>
        <w:rPr>
          <w:rFonts w:ascii="calibri" w:hAnsi="calibri" w:eastAsia="calibri" w:cs="calibri"/>
          <w:sz w:val="24"/>
          <w:szCs w:val="24"/>
        </w:rPr>
        <w:t xml:space="preserve"> oraz tryb </w:t>
      </w:r>
      <w:r>
        <w:rPr>
          <w:rFonts w:ascii="calibri" w:hAnsi="calibri" w:eastAsia="calibri" w:cs="calibri"/>
          <w:sz w:val="24"/>
          <w:szCs w:val="24"/>
          <w:b/>
        </w:rPr>
        <w:t xml:space="preserve">NetworkedAV</w:t>
      </w:r>
      <w:r>
        <w:rPr>
          <w:rFonts w:ascii="calibri" w:hAnsi="calibri" w:eastAsia="calibri" w:cs="calibri"/>
          <w:sz w:val="24"/>
          <w:szCs w:val="24"/>
        </w:rPr>
        <w:t xml:space="preserve"> do profesjonalnych wdrożeń </w:t>
      </w:r>
      <w:r>
        <w:rPr>
          <w:rFonts w:ascii="calibri" w:hAnsi="calibri" w:eastAsia="calibri" w:cs="calibri"/>
          <w:sz w:val="24"/>
          <w:szCs w:val="24"/>
          <w:b/>
        </w:rPr>
        <w:t xml:space="preserve">AV-over-IP</w:t>
      </w:r>
      <w:r>
        <w:rPr>
          <w:rFonts w:ascii="calibri" w:hAnsi="calibri" w:eastAsia="calibri" w:cs="calibri"/>
          <w:sz w:val="24"/>
          <w:szCs w:val="24"/>
        </w:rPr>
        <w:t xml:space="preserve"> można odblokować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dodatkowej licencji Access L3</w:t>
      </w:r>
      <w:r>
        <w:rPr>
          <w:rFonts w:ascii="calibri" w:hAnsi="calibri" w:eastAsia="calibri" w:cs="calibri"/>
          <w:sz w:val="24"/>
          <w:szCs w:val="24"/>
        </w:rPr>
        <w:t xml:space="preserve">. Firmy mogą dodać te funkcje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wymiany przełącznika lub zakupu sprzętu</w:t>
      </w:r>
      <w:r>
        <w:rPr>
          <w:rFonts w:ascii="calibri" w:hAnsi="calibri" w:eastAsia="calibri" w:cs="calibri"/>
          <w:sz w:val="24"/>
          <w:szCs w:val="24"/>
        </w:rPr>
        <w:t xml:space="preserve"> wykraczającego poza aktualne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Opakowanie przyjazne dla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niewielkie zmiany mogą mieć znaczenie. Seria </w:t>
      </w:r>
      <w:r>
        <w:rPr>
          <w:rFonts w:ascii="calibri" w:hAnsi="calibri" w:eastAsia="calibri" w:cs="calibri"/>
          <w:sz w:val="24"/>
          <w:szCs w:val="24"/>
          <w:b/>
        </w:rPr>
        <w:t xml:space="preserve">XS1935</w:t>
      </w:r>
      <w:r>
        <w:rPr>
          <w:rFonts w:ascii="calibri" w:hAnsi="calibri" w:eastAsia="calibri" w:cs="calibri"/>
          <w:sz w:val="24"/>
          <w:szCs w:val="24"/>
        </w:rPr>
        <w:t xml:space="preserve"> wprowadza również nowe, ekologiczne opakowanie, aby zmniejszyć wpływ modernizacji sieci na środowisko. Emisja dwutlenku węgla związana z opakowaniem </w:t>
      </w:r>
      <w:r>
        <w:rPr>
          <w:rFonts w:ascii="calibri" w:hAnsi="calibri" w:eastAsia="calibri" w:cs="calibri"/>
          <w:sz w:val="24"/>
          <w:szCs w:val="24"/>
          <w:b/>
        </w:rPr>
        <w:t xml:space="preserve">została zmniejszona o 30%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porównaniu z poprzednią generacją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Seria XS1935 składa się z trzech modeli: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XS1935-12F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XS1935-10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XS1935-12HP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Więcej informacji na temat dostępności produktów można znaleźć na stronie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https://www.zyxel.com/pl/pl/products/switch/xs1935-series/overview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Obliczono na podstawie ogólnych współczynników emisji, uwzględniających zmniejszenie emisji dwutlenku węgla na jednostkę opakowania w porównaniu z poprzednią generacją serii XS1930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switch/xs1935-series/overview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zyxel.com/pl/pl/products/nebula-cloud-center/nebula-control-center" TargetMode="External"/><Relationship Id="rId10" Type="http://schemas.openxmlformats.org/officeDocument/2006/relationships/hyperlink" Target="http://zyxel.biuroprasowe.pl/word/?hash=96af422b376e6c411ab0225534445cb2&amp;id=213124&amp;typ=epr#_ftn1" TargetMode="External"/><Relationship Id="rId11" Type="http://schemas.openxmlformats.org/officeDocument/2006/relationships/hyperlink" Target="http://zyxel.biuroprasowe.pl/word/?hash=96af422b376e6c411ab0225534445cb2&amp;id=213124&amp;typ=epr%20https:/www.zyxel.com/pl/pl/products/switch/xs1935-series/overview" TargetMode="External"/><Relationship Id="rId12" Type="http://schemas.openxmlformats.org/officeDocument/2006/relationships/hyperlink" Target="http://zyxel.biuroprasowe.pl/word/?hash=96af422b376e6c411ab0225534445cb2&amp;id=213124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2026-09-23T12:19:59+02:00</dcterms:created>
  <dcterms:modified xsi:type="dcterms:W3CDTF">2026-09-23T12:19:59+02:00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