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liderem globalnego sektora sieciowego SMB we wdrażaniu Secure by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Wzmocnienie uwierzytelnienia wieloskładnikowego, zarządzanie podatnościami i przejrzystość.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przedstawił swoje postępy w realizacji </w:t>
      </w:r>
      <w:r>
        <w:rPr>
          <w:rFonts w:ascii="calibri" w:hAnsi="calibri" w:eastAsia="calibri" w:cs="calibri"/>
          <w:sz w:val="24"/>
          <w:szCs w:val="24"/>
        </w:rPr>
        <w:t xml:space="preserve">zobowiązania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Inicjatywa </w:t>
      </w:r>
      <w:r>
        <w:rPr>
          <w:rFonts w:ascii="calibri" w:hAnsi="calibri" w:eastAsia="calibri" w:cs="calibri"/>
          <w:sz w:val="24"/>
          <w:szCs w:val="24"/>
        </w:rPr>
        <w:t xml:space="preserve">Agencji Bezpieczeństwa Cybernetycznego i Infrastruktury (CISA)</w:t>
      </w:r>
      <w:r>
        <w:rPr>
          <w:rFonts w:ascii="calibri" w:hAnsi="calibri" w:eastAsia="calibri" w:cs="calibri"/>
          <w:sz w:val="24"/>
          <w:szCs w:val="24"/>
        </w:rPr>
        <w:t xml:space="preserve"> zachęca producentów na całym świecie </w:t>
      </w:r>
      <w:r>
        <w:rPr>
          <w:rFonts w:ascii="calibri" w:hAnsi="calibri" w:eastAsia="calibri" w:cs="calibri"/>
          <w:sz w:val="24"/>
          <w:szCs w:val="24"/>
        </w:rPr>
        <w:t xml:space="preserve">do integrowania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już od początkowej fazy projektowania</w:t>
      </w:r>
      <w:r>
        <w:rPr>
          <w:rFonts w:ascii="calibri" w:hAnsi="calibri" w:eastAsia="calibri" w:cs="calibri"/>
          <w:sz w:val="24"/>
          <w:szCs w:val="24"/>
        </w:rPr>
        <w:t xml:space="preserve">, promując tym samym </w:t>
      </w:r>
      <w:r>
        <w:rPr>
          <w:rFonts w:ascii="calibri" w:hAnsi="calibri" w:eastAsia="calibri" w:cs="calibri"/>
          <w:sz w:val="24"/>
          <w:szCs w:val="24"/>
        </w:rPr>
        <w:t xml:space="preserve">przejrzystość i tworzenie produktów, które są domyślnie bezpieczne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</w:t>
      </w:r>
      <w:r>
        <w:rPr>
          <w:rFonts w:ascii="calibri" w:hAnsi="calibri" w:eastAsia="calibri" w:cs="calibri"/>
          <w:sz w:val="24"/>
          <w:szCs w:val="24"/>
        </w:rPr>
        <w:t xml:space="preserve">pierwszych w branży</w:t>
      </w:r>
      <w:r>
        <w:rPr>
          <w:rFonts w:ascii="calibri" w:hAnsi="calibri" w:eastAsia="calibri" w:cs="calibri"/>
          <w:sz w:val="24"/>
          <w:szCs w:val="24"/>
        </w:rPr>
        <w:t xml:space="preserve"> zwolenników inicjatywy </w:t>
      </w:r>
      <w:r>
        <w:rPr>
          <w:rFonts w:ascii="calibri" w:hAnsi="calibri" w:eastAsia="calibri" w:cs="calibri"/>
          <w:sz w:val="24"/>
          <w:szCs w:val="24"/>
        </w:rPr>
        <w:t xml:space="preserve">CISA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była nie tylko </w:t>
      </w:r>
      <w:r>
        <w:rPr>
          <w:rFonts w:ascii="calibri" w:hAnsi="calibri" w:eastAsia="calibri" w:cs="calibri"/>
          <w:sz w:val="24"/>
          <w:szCs w:val="24"/>
        </w:rPr>
        <w:t xml:space="preserve">pierwszą firmą z Tajwanu</w:t>
      </w:r>
      <w:r>
        <w:rPr>
          <w:rFonts w:ascii="calibri" w:hAnsi="calibri" w:eastAsia="calibri" w:cs="calibri"/>
          <w:sz w:val="24"/>
          <w:szCs w:val="24"/>
        </w:rPr>
        <w:t xml:space="preserve">, która wzięła w niej udział. Była także </w:t>
      </w:r>
      <w:r>
        <w:rPr>
          <w:rFonts w:ascii="calibri" w:hAnsi="calibri" w:eastAsia="calibri" w:cs="calibri"/>
          <w:sz w:val="24"/>
          <w:szCs w:val="24"/>
        </w:rPr>
        <w:t xml:space="preserve">jedną z pierwszych na globalnym rynku sieciowym SMB</w:t>
      </w:r>
      <w:r>
        <w:rPr>
          <w:rFonts w:ascii="calibri" w:hAnsi="calibri" w:eastAsia="calibri" w:cs="calibri"/>
          <w:sz w:val="24"/>
          <w:szCs w:val="24"/>
        </w:rPr>
        <w:t xml:space="preserve">, co podkreśla jej </w:t>
      </w:r>
      <w:r>
        <w:rPr>
          <w:rFonts w:ascii="calibri" w:hAnsi="calibri" w:eastAsia="calibri" w:cs="calibri"/>
          <w:sz w:val="24"/>
          <w:szCs w:val="24"/>
        </w:rPr>
        <w:t xml:space="preserve">wiodącą pozycję w proaktywnych działaniach na rzecz cyberbezpieczeństwa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marka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metodycznie pracowała nad wdrożeniem celów </w:t>
      </w:r>
      <w:r>
        <w:rPr>
          <w:rFonts w:ascii="calibri" w:hAnsi="calibri" w:eastAsia="calibri" w:cs="calibri"/>
          <w:sz w:val="24"/>
          <w:szCs w:val="24"/>
        </w:rPr>
        <w:t xml:space="preserve">CISA S</w:t>
      </w:r>
      <w:r>
        <w:rPr>
          <w:rFonts w:ascii="calibri" w:hAnsi="calibri" w:eastAsia="calibri" w:cs="calibri"/>
          <w:sz w:val="24"/>
          <w:szCs w:val="24"/>
          <w:b/>
        </w:rPr>
        <w:t xml:space="preserve">ecure by Design</w:t>
      </w:r>
      <w:r>
        <w:rPr>
          <w:rFonts w:ascii="calibri" w:hAnsi="calibri" w:eastAsia="calibri" w:cs="calibri"/>
          <w:sz w:val="24"/>
          <w:szCs w:val="24"/>
        </w:rPr>
        <w:t xml:space="preserve"> w całym portfolio produktów dla małych i średnich przedsiębiorstw, w tym: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Uwierzytelnienia wieloskładnikowego (MFA): </w:t>
      </w:r>
      <w:r>
        <w:rPr>
          <w:rFonts w:ascii="calibri" w:hAnsi="calibri" w:eastAsia="calibri" w:cs="calibri"/>
          <w:sz w:val="24"/>
          <w:szCs w:val="24"/>
        </w:rPr>
        <w:t xml:space="preserve">Wszystkie urządzenia zarządzane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</w:rPr>
        <w:t xml:space="preserve">zapory sieciowe, routery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punkty dostępowe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obsługują MFA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stała się </w:t>
      </w:r>
      <w:r>
        <w:rPr>
          <w:rFonts w:ascii="calibri" w:hAnsi="calibri" w:eastAsia="calibri" w:cs="calibri"/>
          <w:sz w:val="24"/>
          <w:szCs w:val="24"/>
        </w:rPr>
        <w:t xml:space="preserve">pierwszym na świecie dostawcą oferującym MFA dla dostępu bezprzewodowego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Umożliwia administratorom </w:t>
      </w:r>
      <w:r>
        <w:rPr>
          <w:rFonts w:ascii="calibri" w:hAnsi="calibri" w:eastAsia="calibri" w:cs="calibri"/>
          <w:sz w:val="24"/>
          <w:szCs w:val="24"/>
        </w:rPr>
        <w:t xml:space="preserve">egzekwowanie bezpiecznego dostępu</w:t>
      </w:r>
      <w:r>
        <w:rPr>
          <w:rFonts w:ascii="calibri" w:hAnsi="calibri" w:eastAsia="calibri" w:cs="calibri"/>
          <w:sz w:val="24"/>
          <w:szCs w:val="24"/>
        </w:rPr>
        <w:t xml:space="preserve"> dla zdalnych użytkowników punktów dostępowych.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MFA jest również włączone zarówno dla logowania administracyjnego, jak i zdalnych użytkowników VPN</w:t>
      </w:r>
      <w:r>
        <w:rPr>
          <w:rFonts w:ascii="calibri" w:hAnsi="calibri" w:eastAsia="calibri" w:cs="calibri"/>
          <w:sz w:val="24"/>
          <w:szCs w:val="24"/>
        </w:rPr>
        <w:t xml:space="preserve">, przy użyciu weryfikacji e-mailowej lub integracji z kontami Microsoft i Google.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domyślnych haseł: </w:t>
      </w:r>
      <w:r>
        <w:rPr>
          <w:rFonts w:ascii="calibri" w:hAnsi="calibri" w:eastAsia="calibri" w:cs="calibri"/>
          <w:sz w:val="24"/>
          <w:szCs w:val="24"/>
        </w:rPr>
        <w:t xml:space="preserve">Urządzenia dostarczane z fabryki są wstępnie wyposażone w losowe, unikatowe hasła, które należy zmienić podczas konfiguracji (zapewnia to lepsze bezpieczeństwo od razu po wyjęciu z pudełka). W przypadku sieci zarządzanych przez platformę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użytkownicy są zobowiązani do utworzenia silnych haseł przy pierwszym logowaniu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całych klas podatności na ataki: </w:t>
      </w:r>
      <w:r>
        <w:rPr>
          <w:rFonts w:ascii="calibri" w:hAnsi="calibri" w:eastAsia="calibri" w:cs="calibri"/>
          <w:sz w:val="24"/>
          <w:szCs w:val="24"/>
        </w:rPr>
        <w:t xml:space="preserve">Przyjęto </w:t>
      </w:r>
      <w:r>
        <w:rPr>
          <w:rFonts w:ascii="calibri" w:hAnsi="calibri" w:eastAsia="calibri" w:cs="calibri"/>
          <w:sz w:val="24"/>
          <w:szCs w:val="24"/>
        </w:rPr>
        <w:t xml:space="preserve">solidne praktyki bezpiecznego kodowania i rozwoju</w:t>
      </w:r>
      <w:r>
        <w:rPr>
          <w:rFonts w:ascii="calibri" w:hAnsi="calibri" w:eastAsia="calibri" w:cs="calibri"/>
          <w:sz w:val="24"/>
          <w:szCs w:val="24"/>
        </w:rPr>
        <w:t xml:space="preserve">, w tym przestrzeganie </w:t>
      </w:r>
      <w:r>
        <w:rPr>
          <w:rFonts w:ascii="calibri" w:hAnsi="calibri" w:eastAsia="calibri" w:cs="calibri"/>
          <w:sz w:val="24"/>
          <w:szCs w:val="24"/>
        </w:rPr>
        <w:t xml:space="preserve">OWASP Top 10</w:t>
      </w:r>
      <w:r>
        <w:rPr>
          <w:rFonts w:ascii="calibri" w:hAnsi="calibri" w:eastAsia="calibri" w:cs="calibri"/>
          <w:sz w:val="24"/>
          <w:szCs w:val="24"/>
        </w:rPr>
        <w:t xml:space="preserve">, korzystanie ze statycznego kodu i narzędzi do analizy firmware’u (m.in. </w:t>
      </w:r>
      <w:r>
        <w:rPr>
          <w:rFonts w:ascii="calibri" w:hAnsi="calibri" w:eastAsia="calibri" w:cs="calibri"/>
          <w:sz w:val="24"/>
          <w:szCs w:val="24"/>
        </w:rPr>
        <w:t xml:space="preserve">Checkmarx</w:t>
      </w:r>
      <w:r>
        <w:rPr>
          <w:rFonts w:ascii="calibri" w:hAnsi="calibri" w:eastAsia="calibri" w:cs="calibri"/>
          <w:sz w:val="24"/>
          <w:szCs w:val="24"/>
        </w:rPr>
        <w:t xml:space="preserve">) oraz zaawansowanych technik (np. zautomatyzowanych testów kombinatorycznych (</w:t>
      </w:r>
      <w:r>
        <w:rPr>
          <w:rFonts w:ascii="calibri" w:hAnsi="calibri" w:eastAsia="calibri" w:cs="calibri"/>
          <w:sz w:val="24"/>
          <w:szCs w:val="24"/>
        </w:rPr>
        <w:t xml:space="preserve">ACTS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</w:t>
      </w:r>
      <w:r>
        <w:rPr>
          <w:rFonts w:ascii="calibri" w:hAnsi="calibri" w:eastAsia="calibri" w:cs="calibri"/>
          <w:sz w:val="24"/>
          <w:szCs w:val="24"/>
        </w:rPr>
        <w:t xml:space="preserve">współpracuje również z niezależnymi </w:t>
      </w:r>
      <w:r>
        <w:rPr>
          <w:rFonts w:ascii="calibri" w:hAnsi="calibri" w:eastAsia="calibri" w:cs="calibri"/>
          <w:sz w:val="24"/>
          <w:szCs w:val="24"/>
        </w:rPr>
        <w:t xml:space="preserve">firmami zewnętrznymi przeprowadzającymi testy penetracyjne</w:t>
      </w:r>
      <w:r>
        <w:rPr>
          <w:rFonts w:ascii="calibri" w:hAnsi="calibri" w:eastAsia="calibri" w:cs="calibri"/>
          <w:sz w:val="24"/>
          <w:szCs w:val="24"/>
        </w:rPr>
        <w:t xml:space="preserve">, aby ograniczyć “ślepe punkty” w procesie rozwoju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terminowych poprawek zabezpieczeń: </w:t>
      </w:r>
      <w:r>
        <w:rPr>
          <w:rFonts w:ascii="calibri" w:hAnsi="calibri" w:eastAsia="calibri" w:cs="calibri"/>
          <w:sz w:val="24"/>
          <w:szCs w:val="24"/>
        </w:rPr>
        <w:t xml:space="preserve">Rekord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w zakresie terminowego łatania luk w zabezpieczeniach jest wzmocniony przez przez pełnioną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 (od 2021 roku)</w:t>
      </w:r>
      <w:r>
        <w:rPr>
          <w:rFonts w:ascii="calibri" w:hAnsi="calibri" w:eastAsia="calibri" w:cs="calibri"/>
          <w:sz w:val="24"/>
          <w:szCs w:val="24"/>
        </w:rPr>
        <w:t xml:space="preserve">. W ciągu ostatnich 5 lat średni </w:t>
      </w:r>
      <w:r>
        <w:rPr>
          <w:rFonts w:ascii="calibri" w:hAnsi="calibri" w:eastAsia="calibri" w:cs="calibri"/>
          <w:sz w:val="24"/>
          <w:szCs w:val="24"/>
        </w:rPr>
        <w:t xml:space="preserve">czas naprawy (MTTR)</w:t>
      </w:r>
      <w:r>
        <w:rPr>
          <w:rFonts w:ascii="calibri" w:hAnsi="calibri" w:eastAsia="calibri" w:cs="calibri"/>
          <w:sz w:val="24"/>
          <w:szCs w:val="24"/>
        </w:rPr>
        <w:t xml:space="preserve"> firmy pozostawał </w:t>
      </w:r>
      <w:r>
        <w:rPr>
          <w:rFonts w:ascii="calibri" w:hAnsi="calibri" w:eastAsia="calibri" w:cs="calibri"/>
          <w:sz w:val="24"/>
          <w:szCs w:val="24"/>
        </w:rPr>
        <w:t xml:space="preserve">zgodny ze standardami branżowymi</w:t>
      </w:r>
      <w:r>
        <w:rPr>
          <w:rFonts w:ascii="calibri" w:hAnsi="calibri" w:eastAsia="calibri" w:cs="calibri"/>
          <w:sz w:val="24"/>
          <w:szCs w:val="24"/>
        </w:rPr>
        <w:t xml:space="preserve">. Odzwierciedla ciągłe inwestycje w </w:t>
      </w:r>
      <w:r>
        <w:rPr>
          <w:rFonts w:ascii="calibri" w:hAnsi="calibri" w:eastAsia="calibri" w:cs="calibri"/>
          <w:sz w:val="24"/>
          <w:szCs w:val="24"/>
        </w:rPr>
        <w:t xml:space="preserve">szybkie, skoordynowane mechanizmy reagowania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Ustanowienia polityki ujawniania luk w zabezpieczeniach (VDP) i przejrzystości w zgłaszaniu luk: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wdrożyła kompleksową politykę </w:t>
      </w:r>
      <w:r>
        <w:rPr>
          <w:rFonts w:ascii="calibri" w:hAnsi="calibri" w:eastAsia="calibri" w:cs="calibri"/>
          <w:sz w:val="24"/>
          <w:szCs w:val="24"/>
        </w:rPr>
        <w:t xml:space="preserve">VDP</w:t>
      </w:r>
      <w:r>
        <w:rPr>
          <w:rFonts w:ascii="calibri" w:hAnsi="calibri" w:eastAsia="calibri" w:cs="calibri"/>
          <w:sz w:val="24"/>
          <w:szCs w:val="24"/>
        </w:rPr>
        <w:t xml:space="preserve"> z jasnymi wytycznymi i publicznie dostępnymi kanałami raportowania. </w:t>
      </w:r>
      <w:r>
        <w:rPr>
          <w:rFonts w:ascii="calibri" w:hAnsi="calibri" w:eastAsia="calibri" w:cs="calibri"/>
          <w:sz w:val="24"/>
          <w:szCs w:val="24"/>
        </w:rPr>
        <w:t xml:space="preserve">Przejrzystość w raportowaniu i ujawnianiu informacji</w:t>
      </w:r>
      <w:r>
        <w:rPr>
          <w:rFonts w:ascii="calibri" w:hAnsi="calibri" w:eastAsia="calibri" w:cs="calibri"/>
          <w:sz w:val="24"/>
          <w:szCs w:val="24"/>
        </w:rPr>
        <w:t xml:space="preserve"> zapewniła jej najwyższy poziom akceptacji </w:t>
      </w:r>
      <w:r>
        <w:rPr>
          <w:rFonts w:ascii="calibri" w:hAnsi="calibri" w:eastAsia="calibri" w:cs="calibri"/>
          <w:sz w:val="24"/>
          <w:szCs w:val="24"/>
        </w:rPr>
        <w:t xml:space="preserve">CNA</w:t>
      </w:r>
      <w:r>
        <w:rPr>
          <w:rFonts w:ascii="calibri" w:hAnsi="calibri" w:eastAsia="calibri" w:cs="calibri"/>
          <w:sz w:val="24"/>
          <w:szCs w:val="24"/>
        </w:rPr>
        <w:t xml:space="preserve">, który do tej pory </w:t>
      </w:r>
      <w:r>
        <w:rPr>
          <w:rFonts w:ascii="calibri" w:hAnsi="calibri" w:eastAsia="calibri" w:cs="calibri"/>
          <w:sz w:val="24"/>
          <w:szCs w:val="24"/>
        </w:rPr>
        <w:t xml:space="preserve">nie ma sobie równych</w:t>
      </w:r>
      <w:r>
        <w:rPr>
          <w:rFonts w:ascii="calibri" w:hAnsi="calibri" w:eastAsia="calibri" w:cs="calibri"/>
          <w:sz w:val="24"/>
          <w:szCs w:val="24"/>
        </w:rPr>
        <w:t xml:space="preserve"> wśród innych marek sieciowych dla średnich i małych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Zwiększonego gromadzenia dowodów włamań: </w:t>
      </w:r>
      <w:r>
        <w:rPr>
          <w:rFonts w:ascii="calibri" w:hAnsi="calibri" w:eastAsia="calibri" w:cs="calibri"/>
          <w:sz w:val="24"/>
          <w:szCs w:val="24"/>
        </w:rPr>
        <w:t xml:space="preserve">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zarządzane w chmurze zapewniają teraz </w:t>
      </w:r>
      <w:r>
        <w:rPr>
          <w:rFonts w:ascii="calibri" w:hAnsi="calibri" w:eastAsia="calibri" w:cs="calibri"/>
          <w:sz w:val="24"/>
          <w:szCs w:val="24"/>
        </w:rPr>
        <w:t xml:space="preserve">od 7 do 30 dni szczegółowych logów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Informacje na temat bezpieczeństwa są dostarczane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opartej na chmurze platformy analitycznej, która oferuje scentralizowany widok aktywności sieciowej i zagrożeń.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 i routerów bezpieczeństwa</w:t>
      </w:r>
      <w:r>
        <w:rPr>
          <w:rFonts w:ascii="calibri" w:hAnsi="calibri" w:eastAsia="calibri" w:cs="calibri"/>
          <w:sz w:val="24"/>
          <w:szCs w:val="24"/>
        </w:rPr>
        <w:t xml:space="preserve">, dzienniki dostępu i operacyjne są przechowywane przez okres </w:t>
      </w:r>
      <w:r>
        <w:rPr>
          <w:rFonts w:ascii="calibri" w:hAnsi="calibri" w:eastAsia="calibri" w:cs="calibri"/>
          <w:sz w:val="24"/>
          <w:szCs w:val="24"/>
        </w:rPr>
        <w:t xml:space="preserve">do 12 miesięcy</w:t>
      </w:r>
      <w:r>
        <w:rPr>
          <w:rFonts w:ascii="calibri" w:hAnsi="calibri" w:eastAsia="calibri" w:cs="calibri"/>
          <w:sz w:val="24"/>
          <w:szCs w:val="24"/>
        </w:rPr>
        <w:t xml:space="preserve">. Umożliwia to </w:t>
      </w:r>
      <w:r>
        <w:rPr>
          <w:rFonts w:ascii="calibri" w:hAnsi="calibri" w:eastAsia="calibri" w:cs="calibri"/>
          <w:sz w:val="24"/>
          <w:szCs w:val="24"/>
        </w:rPr>
        <w:t xml:space="preserve">kompleksowe audyty i reagowanie na incydenty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musi być wbudowane, a nie przykręcane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zaangażowanie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pomaga nam chronić naszych klientów i partnerów w szybko zmieniającym się krajobrazie zagrożeń. Przyczynia się do zdrowszego ekosystemu IT, a przejrzystość w raportowaniu luk w zabezpieczeniach jest znakiem rozpoznawczym odpowiedzialnej, nowoczesnej praktyki bezpieczeństwa. Nasze podejście opiera się na otwartości, uczciwości i długoterminowym zaufaniu, co jest w pełni zgodne z wizją CISA i, co ważniejsze, oczekiwaniami naszych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</w:rPr>
        <w:t xml:space="preserve">portfolio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które uwzględniają </w:t>
      </w: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www.zyxel.com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yx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2026-02-08T15:45:57+01:00</dcterms:created>
  <dcterms:modified xsi:type="dcterms:W3CDTF">2026-02-08T15:45:57+01:00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