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rozliczenia Pay as You Go w Circle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opcja rozliczeń PAYG zapewnia proste, skalowalne zarządzanie subskrypcjami dla użytkowników platformy chmurowej Nebula.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uruchomienie nowej opcji płatności online </w:t>
      </w:r>
      <w:r>
        <w:rPr>
          <w:rFonts w:ascii="calibri" w:hAnsi="calibri" w:eastAsia="calibri" w:cs="calibri"/>
          <w:sz w:val="24"/>
          <w:szCs w:val="24"/>
          <w:b/>
        </w:rPr>
        <w:t xml:space="preserve">Pay as You Go (PAYG)</w:t>
      </w:r>
      <w:r>
        <w:rPr>
          <w:rFonts w:ascii="calibri" w:hAnsi="calibri" w:eastAsia="calibri" w:cs="calibri"/>
          <w:sz w:val="24"/>
          <w:szCs w:val="24"/>
        </w:rPr>
        <w:t xml:space="preserve"> na swojej platformie zarządzania subskrypcjami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Circle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Zaprojektowany, aby sprostać zmieniającym się potrzebom dostawców usług zarządzanych (MSP) i małych i średnich firm (SMB) korzystających z platformy zarządzania w chmurze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, nowy model rozliczeń zapewnia elastyczność i skalowalność w sposobie zarządzania i rozwijania działalności partnerów wraz z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Płać tylko za to, czego używasz, z elastycznymi planami do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 Circle</w:t>
      </w:r>
      <w:r>
        <w:rPr>
          <w:rFonts w:ascii="calibri" w:hAnsi="calibri" w:eastAsia="calibri" w:cs="calibri"/>
          <w:sz w:val="24"/>
          <w:szCs w:val="24"/>
        </w:rPr>
        <w:t xml:space="preserve"> to scentralizowana, zorientowana na partnerów platforma, która upraszcza i usprawnia zakup, odnawianie i zarządzanie licencjami. Dla MSP zarządzających złożonymi środowiskami o zmiennych wymaganiach oraz wieloma SMB o napiętych budżetach i zmiennym obciążeniu pracą, nowa opcja PAYG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miesięczny model rozliczeń oparty na zużyciu</w:t>
      </w:r>
      <w:r>
        <w:rPr>
          <w:rFonts w:ascii="calibri" w:hAnsi="calibri" w:eastAsia="calibri" w:cs="calibri"/>
          <w:sz w:val="24"/>
          <w:szCs w:val="24"/>
        </w:rPr>
        <w:t xml:space="preserve">. Odzwierciedla on rzeczywiste zużycie w organizacji. Niezależnie od tego, czy zarządzają jedną lokalizacją, czy setkami, partnerzy są obciążani </w:t>
      </w:r>
      <w:r>
        <w:rPr>
          <w:rFonts w:ascii="calibri" w:hAnsi="calibri" w:eastAsia="calibri" w:cs="calibri"/>
          <w:sz w:val="24"/>
          <w:szCs w:val="24"/>
          <w:b/>
        </w:rPr>
        <w:t xml:space="preserve">tylko za to, co wykorzystali</w:t>
      </w:r>
      <w:r>
        <w:rPr>
          <w:rFonts w:ascii="calibri" w:hAnsi="calibri" w:eastAsia="calibri" w:cs="calibri"/>
          <w:sz w:val="24"/>
          <w:szCs w:val="24"/>
        </w:rPr>
        <w:t xml:space="preserve">, bez ukrytych opłat, dopłat lub minimalnych zobowiązań. Szczegółowy raport użytkowania jest generowany co miesiąc. Zapewnia partnerom pełną przejrzystość kosztów licencjonowania.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Pełna kontrola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Włączenie </w:t>
      </w:r>
      <w:r>
        <w:rPr>
          <w:rFonts w:ascii="calibri" w:hAnsi="calibri" w:eastAsia="calibri" w:cs="calibri"/>
          <w:sz w:val="24"/>
          <w:szCs w:val="24"/>
          <w:b/>
        </w:rPr>
        <w:t xml:space="preserve">PAYG</w:t>
      </w:r>
      <w:r>
        <w:rPr>
          <w:rFonts w:ascii="calibri" w:hAnsi="calibri" w:eastAsia="calibri" w:cs="calibri"/>
          <w:sz w:val="24"/>
          <w:szCs w:val="24"/>
        </w:rPr>
        <w:t xml:space="preserve"> wymaga zaledwie kilku kliknięć w interfejsie </w:t>
      </w:r>
      <w:r>
        <w:rPr>
          <w:rFonts w:ascii="calibri" w:hAnsi="calibri" w:eastAsia="calibri" w:cs="calibri"/>
          <w:sz w:val="24"/>
          <w:szCs w:val="24"/>
          <w:b/>
        </w:rPr>
        <w:t xml:space="preserve">Circle</w:t>
      </w:r>
      <w:r>
        <w:rPr>
          <w:rFonts w:ascii="calibri" w:hAnsi="calibri" w:eastAsia="calibri" w:cs="calibri"/>
          <w:sz w:val="24"/>
          <w:szCs w:val="24"/>
        </w:rPr>
        <w:t xml:space="preserve">, dzięki czemu proces jest płynny. Nie ma potrzeby wysyłania zgłoszeń do pomocy technicznej ani kontaktowania się z zespołami ds. obsługi klienta. W przypadku partnerów zarządzających wieloma organizacjami lub jednostkami biznesowymi </w:t>
      </w:r>
      <w:r>
        <w:rPr>
          <w:rFonts w:ascii="calibri" w:hAnsi="calibri" w:eastAsia="calibri" w:cs="calibri"/>
          <w:sz w:val="24"/>
          <w:szCs w:val="24"/>
          <w:b/>
        </w:rPr>
        <w:t xml:space="preserve">PAYG</w:t>
      </w:r>
      <w:r>
        <w:rPr>
          <w:rFonts w:ascii="calibri" w:hAnsi="calibri" w:eastAsia="calibri" w:cs="calibri"/>
          <w:sz w:val="24"/>
          <w:szCs w:val="24"/>
        </w:rPr>
        <w:t xml:space="preserve"> może być selektywnie stosowane dla poszczególnych organizacji, z opcją aktywacji lub zatrzymania w dowolnym momencie. Urządzenia sieciowe mogą być elastycznie przenoszone między organizacjami, oferując jeszcze większą kontrolę operacyjną.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są natychmiastowe. Mniejsi partnerzy mogą ubiegać się o nowe projekty bez konieczności angażowania kapitału z góry. A także odzyskać cenny czas, odchodząc od ręcznie przetwarzanych corocznych odnowień.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Kompleksowe opcje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MSP i SMB </w:t>
      </w:r>
      <w:r>
        <w:rPr>
          <w:rFonts w:ascii="calibri" w:hAnsi="calibri" w:eastAsia="calibri" w:cs="calibri"/>
          <w:sz w:val="24"/>
          <w:szCs w:val="24"/>
          <w:b/>
        </w:rPr>
        <w:t xml:space="preserve">PAYG</w:t>
      </w:r>
      <w:r>
        <w:rPr>
          <w:rFonts w:ascii="calibri" w:hAnsi="calibri" w:eastAsia="calibri" w:cs="calibri"/>
          <w:sz w:val="24"/>
          <w:szCs w:val="24"/>
        </w:rPr>
        <w:t xml:space="preserve"> umożliwia płynniejsze przejście </w:t>
      </w:r>
      <w:r>
        <w:rPr>
          <w:rFonts w:ascii="calibri" w:hAnsi="calibri" w:eastAsia="calibri" w:cs="calibri"/>
          <w:sz w:val="24"/>
          <w:szCs w:val="24"/>
          <w:b/>
        </w:rPr>
        <w:t xml:space="preserve">od CapEx do OpEx</w:t>
      </w:r>
      <w:r>
        <w:rPr>
          <w:rFonts w:ascii="calibri" w:hAnsi="calibri" w:eastAsia="calibri" w:cs="calibri"/>
          <w:sz w:val="24"/>
          <w:szCs w:val="24"/>
        </w:rPr>
        <w:t xml:space="preserve">, poprawia przepływy pieniężne i wspiera skalowalne oferty sieci jako usługi (</w:t>
      </w:r>
      <w:r>
        <w:rPr>
          <w:rFonts w:ascii="calibri" w:hAnsi="calibri" w:eastAsia="calibri" w:cs="calibri"/>
          <w:sz w:val="24"/>
          <w:szCs w:val="24"/>
          <w:b/>
        </w:rPr>
        <w:t xml:space="preserve">NaaS</w:t>
      </w:r>
      <w:r>
        <w:rPr>
          <w:rFonts w:ascii="calibri" w:hAnsi="calibri" w:eastAsia="calibri" w:cs="calibri"/>
          <w:sz w:val="24"/>
          <w:szCs w:val="24"/>
        </w:rPr>
        <w:t xml:space="preserve">). Wszystko jest oparte o zarządzany w chmurze ekosystem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Circle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oferuje teraz najbardziej wszechstronne opcje płatności w branży, 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 elastyczną opcję PAYG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opcje automatycznego odnawiania (rozliczenia miesięczne i roczne). Obejmuje to obsługę zarówno transakcji online, jak i offline – </w:t>
      </w:r>
      <w:r>
        <w:rPr>
          <w:rFonts w:ascii="calibri" w:hAnsi="calibri" w:eastAsia="calibri" w:cs="calibri"/>
          <w:sz w:val="24"/>
          <w:szCs w:val="24"/>
        </w:rPr>
        <w:t xml:space="preserve">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Wprowadzamy nowy model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PAYG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bezpośredniej odpowiedzi na opinie partnerów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sprawiliśmy, że zarządzanie licencjami jest tak proste, elastyczne i skalowalne jak nasza technologia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Chodzi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usunięcie barier wejścia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zapewnienie naszym partnerom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narzędzi i opcji płatności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których potrzebują, aby rozwijać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własnych warunkach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</w:t>
      </w:r>
      <w:r>
        <w:rPr>
          <w:rFonts w:ascii="calibri" w:hAnsi="calibri" w:eastAsia="calibri" w:cs="calibri"/>
          <w:sz w:val="24"/>
          <w:szCs w:val="24"/>
          <w:b/>
        </w:rPr>
        <w:t xml:space="preserve">PAYG</w:t>
      </w:r>
      <w:r>
        <w:rPr>
          <w:rFonts w:ascii="calibri" w:hAnsi="calibri" w:eastAsia="calibri" w:cs="calibri"/>
          <w:sz w:val="24"/>
          <w:szCs w:val="24"/>
        </w:rPr>
        <w:t xml:space="preserve"> jest dostępna na całym świecie za pośrednictwem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Circle</w:t>
      </w:r>
      <w:r>
        <w:rPr>
          <w:rFonts w:ascii="calibri" w:hAnsi="calibri" w:eastAsia="calibri" w:cs="calibri"/>
          <w:sz w:val="24"/>
          <w:szCs w:val="24"/>
        </w:rPr>
        <w:t xml:space="preserve"> dla urządzeń zarządzanych w chmurze Nebula. Więcej informacji można znaleźć na stronie https://community.zyxel.com/en/discussion/29606.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ircle.zyxel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2026-06-01T10:43:24+02:00</dcterms:created>
  <dcterms:modified xsi:type="dcterms:W3CDTF">2026-06-01T10:43:24+02:00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