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Zyxel uzyskuje zatwierdzenie SBTi dla celów redukcji emisji dwutlenku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Zatwierdzone cele potwierdzają zaangażowanie firmy Zyxel w działania na rzecz klimatu, dostosowując jej ścieżkę redukcji emisji do celu 1,5°C określonego w Porozumieniu Paryskim.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ogłosił, że cele </w:t>
      </w:r>
      <w:r>
        <w:rPr>
          <w:rFonts w:ascii="calibri" w:hAnsi="calibri" w:eastAsia="calibri" w:cs="calibri"/>
          <w:sz w:val="24"/>
          <w:szCs w:val="24"/>
          <w:b/>
        </w:rPr>
        <w:t xml:space="preserve">Grupy Zyxel</w:t>
      </w:r>
      <w:r>
        <w:rPr>
          <w:rFonts w:ascii="calibri" w:hAnsi="calibri" w:eastAsia="calibri" w:cs="calibri"/>
          <w:sz w:val="24"/>
          <w:szCs w:val="24"/>
        </w:rPr>
        <w:t xml:space="preserve"> w zakresie redukcji emisji gazów cieplarnianych </w:t>
      </w:r>
      <w:r>
        <w:rPr>
          <w:rFonts w:ascii="calibri" w:hAnsi="calibri" w:eastAsia="calibri" w:cs="calibri"/>
          <w:sz w:val="24"/>
          <w:szCs w:val="24"/>
          <w:b/>
        </w:rPr>
        <w:t xml:space="preserve">(GHG)</w:t>
      </w:r>
      <w:r>
        <w:rPr>
          <w:rFonts w:ascii="calibri" w:hAnsi="calibri" w:eastAsia="calibri" w:cs="calibri"/>
          <w:sz w:val="24"/>
          <w:szCs w:val="24"/>
        </w:rPr>
        <w:t xml:space="preserve"> zostały oficjalnie zatwierdzone </w:t>
      </w:r>
      <w:r>
        <w:rPr>
          <w:rFonts w:ascii="calibri" w:hAnsi="calibri" w:eastAsia="calibri" w:cs="calibri"/>
          <w:sz w:val="24"/>
          <w:szCs w:val="24"/>
          <w:b/>
        </w:rPr>
        <w:t xml:space="preserve">przez inicjatywę Science Based Targets (SBTi)</w:t>
      </w:r>
      <w:r>
        <w:rPr>
          <w:rFonts w:ascii="calibri" w:hAnsi="calibri" w:eastAsia="calibri" w:cs="calibri"/>
          <w:sz w:val="24"/>
          <w:szCs w:val="24"/>
        </w:rPr>
        <w:t xml:space="preserve">. Zatwierdzenie to potwierdza, że ścieżka dekarbonizacji Zyxel jest zgodna z celem 1,5°C Porozumienia Paryskiego. Wzmacnia to zaangażowanie Zyxel w działania na rzecz klimatu i zrównoważonego rozwoju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Zatwierdzone cele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Cele krótkoterminowe: </w:t>
      </w:r>
      <w:r>
        <w:rPr>
          <w:rFonts w:ascii="calibri" w:hAnsi="calibri" w:eastAsia="calibri" w:cs="calibri"/>
          <w:sz w:val="24"/>
          <w:szCs w:val="24"/>
        </w:rPr>
        <w:t xml:space="preserve">Zmniejszenie bezwzględnych emisji gazów cieplarnianych Zakresu 1 i Zakresu 2 o 42% do 2030 r. w stosunku do roku bazowego 2021 oraz zmniejszenie bezwzględnych emisji gazów cieplarnianych Zakresu 3 o 58,8% do 2034 r. w stosunku do roku bazowego 2023.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Cele długoterminowe: </w:t>
      </w:r>
      <w:r>
        <w:rPr>
          <w:rFonts w:ascii="calibri" w:hAnsi="calibri" w:eastAsia="calibri" w:cs="calibri"/>
          <w:sz w:val="24"/>
          <w:szCs w:val="24"/>
        </w:rPr>
        <w:t xml:space="preserve">Zmniejszenie bezwzględnych emisji gazów cieplarnianych Zakresu 1 i Zakresu 2 o 90% do 2050 r. w stosunku do roku bazowego 2021 oraz zmniejszenie bezwzględnych emisji gazów cieplarnianych Zakresu 3 o 90% do 2050 r. w stosunku do roku bazowego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osiągnąć te cele,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uruchomił kompleksową strategię transformacji niskoemisyjnej. Kluczowe inicjatywy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instalację systemów energii słonecznej</w:t>
      </w:r>
      <w:r>
        <w:rPr>
          <w:rFonts w:ascii="calibri" w:hAnsi="calibri" w:eastAsia="calibri" w:cs="calibri"/>
          <w:sz w:val="24"/>
          <w:szCs w:val="24"/>
        </w:rPr>
        <w:t xml:space="preserve"> w celu zwiększenia wykorzystania energii odnawialnej,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cyfrowej platformy zarządzania emisjami dwutlenku węgla</w:t>
      </w:r>
      <w:r>
        <w:rPr>
          <w:rFonts w:ascii="calibri" w:hAnsi="calibri" w:eastAsia="calibri" w:cs="calibri"/>
          <w:sz w:val="24"/>
          <w:szCs w:val="24"/>
        </w:rPr>
        <w:t xml:space="preserve"> w celu śledzenia danych dotyczących emisji i zarządzania nimi oraz </w:t>
      </w:r>
      <w:r>
        <w:rPr>
          <w:rFonts w:ascii="calibri" w:hAnsi="calibri" w:eastAsia="calibri" w:cs="calibri"/>
          <w:sz w:val="24"/>
          <w:szCs w:val="24"/>
          <w:b/>
        </w:rPr>
        <w:t xml:space="preserve">wymianę przestarzałego sprzętu na wysokowydajne technologie produkcyjne</w:t>
      </w:r>
      <w:r>
        <w:rPr>
          <w:rFonts w:ascii="calibri" w:hAnsi="calibri" w:eastAsia="calibri" w:cs="calibri"/>
          <w:sz w:val="24"/>
          <w:szCs w:val="24"/>
        </w:rPr>
        <w:t xml:space="preserve"> w celu zwiększenia efektywności energetycznej i operacyjnej.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aktywnie angażuje swój łańcuch dostaw w redukcję emisji.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ekologicznym praktykom zakupowym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śladem węglowym produktów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współpracy z dostawcami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buduje </w:t>
      </w:r>
      <w:r>
        <w:rPr>
          <w:rFonts w:ascii="calibri" w:hAnsi="calibri" w:eastAsia="calibri" w:cs="calibri"/>
          <w:sz w:val="24"/>
          <w:szCs w:val="24"/>
          <w:b/>
        </w:rPr>
        <w:t xml:space="preserve">odporny, niskoemisyjny łańcuch wartości</w:t>
      </w:r>
      <w:r>
        <w:rPr>
          <w:rFonts w:ascii="calibri" w:hAnsi="calibri" w:eastAsia="calibri" w:cs="calibri"/>
          <w:sz w:val="24"/>
          <w:szCs w:val="24"/>
        </w:rPr>
        <w:t xml:space="preserve"> we współpracy z globalnymi klientami i interesariuszami. Napędza wspólne dążenie do osiągnięcia zerowej emisji netto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wzmocnić wpływ,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kontynuuje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projektowania produktów</w:t>
      </w:r>
      <w:r>
        <w:rPr>
          <w:rFonts w:ascii="calibri" w:hAnsi="calibri" w:eastAsia="calibri" w:cs="calibri"/>
          <w:sz w:val="24"/>
          <w:szCs w:val="24"/>
        </w:rPr>
        <w:t xml:space="preserve"> poprzez integrację innowacji niskoemisyjnych i zasad gospodarki o obiegu zamkniętym. Wysiłki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efektywności energetycznej produktów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wydłużenie ich żywotności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wykorzystania materiałów nadających się do recyklingu</w:t>
      </w:r>
      <w:r>
        <w:rPr>
          <w:rFonts w:ascii="calibri" w:hAnsi="calibri" w:eastAsia="calibri" w:cs="calibri"/>
          <w:sz w:val="24"/>
          <w:szCs w:val="24"/>
        </w:rPr>
        <w:t xml:space="preserve"> w celu zmniejszenia emisji dwutlenku węgla w całym cyklu życia.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postępuje również zgodnie z ramami </w:t>
      </w:r>
      <w:r>
        <w:rPr>
          <w:rFonts w:ascii="calibri" w:hAnsi="calibri" w:eastAsia="calibri" w:cs="calibri"/>
          <w:sz w:val="24"/>
          <w:szCs w:val="24"/>
          <w:b/>
        </w:rPr>
        <w:t xml:space="preserve">TCFD (Task Force on Climate-related Financial Disclosures)</w:t>
      </w:r>
      <w:r>
        <w:rPr>
          <w:rFonts w:ascii="calibri" w:hAnsi="calibri" w:eastAsia="calibri" w:cs="calibri"/>
          <w:sz w:val="24"/>
          <w:szCs w:val="24"/>
        </w:rPr>
        <w:t xml:space="preserve">, aby regularnie oceniać zagrożenia i możliwości związane z klimatem oraz zapewnić przejrzystość w ujawnianiu danych dotyczących emisji i postępów w realizacji zobowiązań do zerowej emisji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zaangażowania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w zrównoważony rozwój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https://www.zyxel.com/global/en/sustainability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sustain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2026-03-05T09:48:50+01:00</dcterms:created>
  <dcterms:modified xsi:type="dcterms:W3CDTF">2026-03-05T09:48:50+01:00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