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Zapora sieciowa USG FLEX 50HP Zyxel Networks zdobyła nagrodę Taiwan Excellence Award za innowacyjność w dziedzinie bezpieczeństwa</w:t>
      </w:r>
    </w:p>
    <w:p>
      <w:pPr>
        <w:spacing w:before="0" w:after="500" w:line="264" w:lineRule="auto"/>
      </w:pPr>
      <w:r>
        <w:rPr>
          <w:rFonts w:ascii="calibri" w:hAnsi="calibri" w:eastAsia="calibri" w:cs="calibri"/>
          <w:sz w:val="36"/>
          <w:szCs w:val="36"/>
          <w:b/>
        </w:rPr>
        <w:t xml:space="preserve">Zapora sieciowa USG FLEX 50HP została uhonorowana prestiżową nagrodą Taiwan Excellence Award 2026. To najnowsze wyróżnienie sprawia, że łączna liczba nagród Taiwan Excellence Award zdobytych przez grupę Zyxel przekroczyła 100, co podkreśla jej długoletnie zaangażowanie w innowacje.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w:t>
      </w:r>
      <w:r>
        <w:rPr>
          <w:rFonts w:ascii="calibri" w:hAnsi="calibri" w:eastAsia="calibri" w:cs="calibri"/>
          <w:sz w:val="24"/>
          <w:szCs w:val="24"/>
        </w:rPr>
        <w:t xml:space="preserve">ogłosiła, że jej zapora sieciowa </w:t>
      </w:r>
      <w:hyperlink r:id="rId7" w:history="1">
        <w:r>
          <w:rPr>
            <w:rFonts w:ascii="calibri" w:hAnsi="calibri" w:eastAsia="calibri" w:cs="calibri"/>
            <w:color w:val="0000FF"/>
            <w:sz w:val="24"/>
            <w:szCs w:val="24"/>
            <w:b/>
            <w:u w:val="single"/>
          </w:rPr>
          <w:t xml:space="preserve">USG FLEX 50HP</w:t>
        </w:r>
      </w:hyperlink>
      <w:r>
        <w:rPr>
          <w:rFonts w:ascii="calibri" w:hAnsi="calibri" w:eastAsia="calibri" w:cs="calibri"/>
          <w:sz w:val="24"/>
          <w:szCs w:val="24"/>
        </w:rPr>
        <w:t xml:space="preserve"> została uhonorowana prestiżową </w:t>
      </w:r>
      <w:hyperlink r:id="rId8" w:history="1">
        <w:r>
          <w:rPr>
            <w:rFonts w:ascii="calibri" w:hAnsi="calibri" w:eastAsia="calibri" w:cs="calibri"/>
            <w:color w:val="0000FF"/>
            <w:sz w:val="24"/>
            <w:szCs w:val="24"/>
            <w:u w:val="single"/>
          </w:rPr>
          <w:t xml:space="preserve">nagrodą Taiwan Excellence Award 2026</w:t>
        </w:r>
      </w:hyperlink>
      <w:r>
        <w:rPr>
          <w:rFonts w:ascii="calibri" w:hAnsi="calibri" w:eastAsia="calibri" w:cs="calibri"/>
          <w:sz w:val="24"/>
          <w:szCs w:val="24"/>
        </w:rPr>
        <w:t xml:space="preserve">. To </w:t>
      </w:r>
      <w:r>
        <w:rPr>
          <w:rFonts w:ascii="calibri" w:hAnsi="calibri" w:eastAsia="calibri" w:cs="calibri"/>
          <w:sz w:val="24"/>
          <w:szCs w:val="24"/>
        </w:rPr>
        <w:t xml:space="preserve">najnowsze wyróżnienie sprawia, że łączna liczba nagród Taiwan Excellence Award zdobytych przez grupę </w:t>
      </w:r>
      <w:r>
        <w:rPr>
          <w:rFonts w:ascii="calibri" w:hAnsi="calibri" w:eastAsia="calibri" w:cs="calibri"/>
          <w:sz w:val="24"/>
          <w:szCs w:val="24"/>
          <w:b/>
        </w:rPr>
        <w:t xml:space="preserve">Zyxel</w:t>
      </w:r>
      <w:r>
        <w:rPr>
          <w:rFonts w:ascii="calibri" w:hAnsi="calibri" w:eastAsia="calibri" w:cs="calibri"/>
          <w:sz w:val="24"/>
          <w:szCs w:val="24"/>
        </w:rPr>
        <w:t xml:space="preserve"> przekroczyła</w:t>
      </w:r>
      <w:r>
        <w:rPr>
          <w:rFonts w:ascii="calibri" w:hAnsi="calibri" w:eastAsia="calibri" w:cs="calibri"/>
          <w:sz w:val="24"/>
          <w:szCs w:val="24"/>
        </w:rPr>
        <w:t xml:space="preserve"> 100</w:t>
      </w:r>
      <w:r>
        <w:rPr>
          <w:rFonts w:ascii="calibri" w:hAnsi="calibri" w:eastAsia="calibri" w:cs="calibri"/>
          <w:sz w:val="24"/>
          <w:szCs w:val="24"/>
        </w:rPr>
        <w:t xml:space="preserve">, </w:t>
      </w:r>
      <w:r>
        <w:rPr>
          <w:rFonts w:ascii="calibri" w:hAnsi="calibri" w:eastAsia="calibri" w:cs="calibri"/>
          <w:sz w:val="24"/>
          <w:szCs w:val="24"/>
        </w:rPr>
        <w:t xml:space="preserve">co podkreśla jej długoletnie zaangażowanie w innowacje.</w:t>
      </w:r>
    </w:p>
    <w:p>
      <w:pPr>
        <w:spacing w:before="0" w:after="300"/>
      </w:pPr>
      <w:r>
        <w:rPr>
          <w:rFonts w:ascii="calibri" w:hAnsi="calibri" w:eastAsia="calibri" w:cs="calibri"/>
          <w:sz w:val="24"/>
          <w:szCs w:val="24"/>
        </w:rPr>
        <w:t xml:space="preserve">Nagrody Taiwan Excellence Awards, wręczone</w:t>
      </w:r>
      <w:r>
        <w:rPr>
          <w:rFonts w:ascii="calibri" w:hAnsi="calibri" w:eastAsia="calibri" w:cs="calibri"/>
          <w:sz w:val="24"/>
          <w:szCs w:val="24"/>
        </w:rPr>
        <w:t xml:space="preserve"> 26 listopada </w:t>
      </w:r>
      <w:r>
        <w:rPr>
          <w:rFonts w:ascii="calibri" w:hAnsi="calibri" w:eastAsia="calibri" w:cs="calibri"/>
          <w:sz w:val="24"/>
          <w:szCs w:val="24"/>
        </w:rPr>
        <w:t xml:space="preserve">w Tajpej, są </w:t>
      </w:r>
      <w:r>
        <w:rPr>
          <w:rFonts w:ascii="calibri" w:hAnsi="calibri" w:eastAsia="calibri" w:cs="calibri"/>
          <w:sz w:val="24"/>
          <w:szCs w:val="24"/>
          <w:b/>
        </w:rPr>
        <w:t xml:space="preserve">wyrazem uznania dla produktów, które tworzą nową wartość dzięki innowacyjności</w:t>
      </w:r>
      <w:r>
        <w:rPr>
          <w:rFonts w:ascii="calibri" w:hAnsi="calibri" w:eastAsia="calibri" w:cs="calibri"/>
          <w:sz w:val="24"/>
          <w:szCs w:val="24"/>
        </w:rPr>
        <w:t xml:space="preserve">. Nagrody te, ustanowione przez Ministerstwo Gospodarki w 1993 r., przyznano w ubiegłym </w:t>
      </w:r>
      <w:r>
        <w:rPr>
          <w:rFonts w:ascii="calibri" w:hAnsi="calibri" w:eastAsia="calibri" w:cs="calibri"/>
          <w:sz w:val="24"/>
          <w:szCs w:val="24"/>
        </w:rPr>
        <w:t xml:space="preserve">roku </w:t>
      </w:r>
      <w:r>
        <w:rPr>
          <w:rFonts w:ascii="calibri" w:hAnsi="calibri" w:eastAsia="calibri" w:cs="calibri"/>
          <w:sz w:val="24"/>
          <w:szCs w:val="24"/>
        </w:rPr>
        <w:t xml:space="preserve">prawie </w:t>
      </w:r>
      <w:r>
        <w:rPr>
          <w:rFonts w:ascii="calibri" w:hAnsi="calibri" w:eastAsia="calibri" w:cs="calibri"/>
          <w:sz w:val="24"/>
          <w:szCs w:val="24"/>
          <w:b/>
        </w:rPr>
        <w:t xml:space="preserve">1000 </w:t>
      </w:r>
      <w:r>
        <w:rPr>
          <w:rFonts w:ascii="calibri" w:hAnsi="calibri" w:eastAsia="calibri" w:cs="calibri"/>
          <w:sz w:val="24"/>
          <w:szCs w:val="24"/>
          <w:b/>
        </w:rPr>
        <w:t xml:space="preserve">zgłoszeniom</w:t>
      </w:r>
      <w:r>
        <w:rPr>
          <w:rFonts w:ascii="calibri" w:hAnsi="calibri" w:eastAsia="calibri" w:cs="calibri"/>
          <w:sz w:val="24"/>
          <w:szCs w:val="24"/>
        </w:rPr>
        <w:t xml:space="preserve">, które oceniono pod kątem osiągnięć w zakresie badań i rozwoju, projektowania, jakości i marketingu</w:t>
      </w:r>
      <w:r>
        <w:rPr>
          <w:rFonts w:ascii="calibri" w:hAnsi="calibri" w:eastAsia="calibri" w:cs="calibri"/>
          <w:sz w:val="24"/>
          <w:szCs w:val="24"/>
        </w:rPr>
        <w:t xml:space="preserve">. Wyróżniono tylko </w:t>
      </w:r>
      <w:r>
        <w:rPr>
          <w:rFonts w:ascii="calibri" w:hAnsi="calibri" w:eastAsia="calibri" w:cs="calibri"/>
          <w:sz w:val="24"/>
          <w:szCs w:val="24"/>
          <w:b/>
        </w:rPr>
        <w:t xml:space="preserve">336 z nich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Wypełnianie długotrwałej luki w zarządzaniu bezpieczeństwem sieci</w:t>
      </w:r>
    </w:p>
    <w:p>
      <w:pPr>
        <w:spacing w:before="0" w:after="300"/>
      </w:pPr>
      <w:r>
        <w:rPr>
          <w:rFonts w:ascii="calibri" w:hAnsi="calibri" w:eastAsia="calibri" w:cs="calibri"/>
          <w:sz w:val="24"/>
          <w:szCs w:val="24"/>
        </w:rPr>
        <w:t xml:space="preserve">Zapora sieciowa </w:t>
      </w:r>
      <w:r>
        <w:rPr>
          <w:rFonts w:ascii="calibri" w:hAnsi="calibri" w:eastAsia="calibri" w:cs="calibri"/>
          <w:sz w:val="24"/>
          <w:szCs w:val="24"/>
          <w:b/>
        </w:rPr>
        <w:t xml:space="preserve">USG FLEX 50HP</w:t>
      </w:r>
      <w:r>
        <w:rPr>
          <w:rFonts w:ascii="calibri" w:hAnsi="calibri" w:eastAsia="calibri" w:cs="calibri"/>
          <w:sz w:val="24"/>
          <w:szCs w:val="24"/>
        </w:rPr>
        <w:t xml:space="preserve"> </w:t>
      </w:r>
      <w:r>
        <w:rPr>
          <w:rFonts w:ascii="calibri" w:hAnsi="calibri" w:eastAsia="calibri" w:cs="calibri"/>
          <w:sz w:val="24"/>
          <w:szCs w:val="24"/>
        </w:rPr>
        <w:t xml:space="preserve">łączy </w:t>
      </w:r>
      <w:r>
        <w:rPr>
          <w:rFonts w:ascii="calibri" w:hAnsi="calibri" w:eastAsia="calibri" w:cs="calibri"/>
          <w:sz w:val="24"/>
          <w:szCs w:val="24"/>
          <w:b/>
        </w:rPr>
        <w:t xml:space="preserve">chmurę i infrastrukturę lokalną w jedno spójne rozwiązanie</w:t>
      </w:r>
      <w:r>
        <w:rPr>
          <w:rFonts w:ascii="calibri" w:hAnsi="calibri" w:eastAsia="calibri" w:cs="calibri"/>
          <w:sz w:val="24"/>
          <w:szCs w:val="24"/>
        </w:rPr>
        <w:t xml:space="preserve">. Jest to możliwe dzięki wiodącej w branży funkcji</w:t>
      </w:r>
      <w:r>
        <w:rPr>
          <w:rFonts w:ascii="calibri" w:hAnsi="calibri" w:eastAsia="calibri" w:cs="calibri"/>
          <w:sz w:val="24"/>
          <w:szCs w:val="24"/>
          <w:b/>
        </w:rPr>
        <w:t xml:space="preserve"> Smart Sync</w:t>
      </w:r>
      <w:r>
        <w:rPr>
          <w:rFonts w:ascii="calibri" w:hAnsi="calibri" w:eastAsia="calibri" w:cs="calibri"/>
          <w:sz w:val="24"/>
          <w:szCs w:val="24"/>
        </w:rPr>
        <w:t xml:space="preserve">, która synchronizuje zasady bezpieczeństwa, obiekty sieciowe i ustawienia wysokiej dostępności na obu platformach. Zapewnia to spójną ochronę i usprawnia zarządzanie.</w:t>
      </w:r>
    </w:p>
    <w:p>
      <w:pPr>
        <w:spacing w:before="0" w:after="300"/>
      </w:pPr>
      <w:r>
        <w:rPr>
          <w:rFonts w:ascii="calibri" w:hAnsi="calibri" w:eastAsia="calibri" w:cs="calibri"/>
          <w:sz w:val="24"/>
          <w:szCs w:val="24"/>
        </w:rPr>
        <w:t xml:space="preserve">Bogaty zestaw funkcji bezpieczeństwa zapewnia </w:t>
      </w:r>
      <w:r>
        <w:rPr>
          <w:rFonts w:ascii="calibri" w:hAnsi="calibri" w:eastAsia="calibri" w:cs="calibri"/>
          <w:sz w:val="24"/>
          <w:szCs w:val="24"/>
          <w:b/>
        </w:rPr>
        <w:t xml:space="preserve">kompleksową ochronę przed stale rosnącymi zagrożeniami cybernetycznymi</w:t>
      </w:r>
      <w:r>
        <w:rPr>
          <w:rFonts w:ascii="calibri" w:hAnsi="calibri" w:eastAsia="calibri" w:cs="calibri"/>
          <w:sz w:val="24"/>
          <w:szCs w:val="24"/>
        </w:rPr>
        <w:t xml:space="preserve">, a przystępna cena umożliwia małym i średnim przedsiębiorstwom (SMB) oraz dostawcom usług zarządzanych (MSP) korzystanie z zabezpieczeń klasy korporacyjnej bez nadwyrężania budżetu, dzięki czemu zaawansowana ochrona sieci staje się dostępna dla szerszego grona przedsiębiorstw.</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Uznanie ekspertów z całego świata </w:t>
      </w:r>
    </w:p>
    <w:p>
      <w:pPr>
        <w:spacing w:before="0" w:after="300"/>
      </w:pPr>
      <w:r>
        <w:rPr>
          <w:rFonts w:ascii="calibri" w:hAnsi="calibri" w:eastAsia="calibri" w:cs="calibri"/>
          <w:sz w:val="24"/>
          <w:szCs w:val="24"/>
        </w:rPr>
        <w:t xml:space="preserve">Oprócz prestiżowej nagrody Taiwan Excellence Award, </w:t>
      </w:r>
      <w:r>
        <w:rPr>
          <w:rFonts w:ascii="calibri" w:hAnsi="calibri" w:eastAsia="calibri" w:cs="calibri"/>
          <w:sz w:val="24"/>
          <w:szCs w:val="24"/>
          <w:b/>
        </w:rPr>
        <w:t xml:space="preserve">USG FLEX 50HP</w:t>
      </w:r>
      <w:r>
        <w:rPr>
          <w:rFonts w:ascii="calibri" w:hAnsi="calibri" w:eastAsia="calibri" w:cs="calibri"/>
          <w:sz w:val="24"/>
          <w:szCs w:val="24"/>
        </w:rPr>
        <w:t xml:space="preserve"> zdobył kolejne wyróżnienia na całym świecie. Niedawno został uznany za </w:t>
      </w:r>
      <w:r>
        <w:rPr>
          <w:rFonts w:ascii="calibri" w:hAnsi="calibri" w:eastAsia="calibri" w:cs="calibri"/>
          <w:sz w:val="24"/>
          <w:szCs w:val="24"/>
          <w:b/>
        </w:rPr>
        <w:t xml:space="preserve">sprzęt bezpieczeństwa roku</w:t>
      </w:r>
      <w:r>
        <w:rPr>
          <w:rFonts w:ascii="calibri" w:hAnsi="calibri" w:eastAsia="calibri" w:cs="calibri"/>
          <w:sz w:val="24"/>
          <w:szCs w:val="24"/>
        </w:rPr>
        <w:t xml:space="preserve"> w brytyjskim konkursie </w:t>
      </w:r>
      <w:r>
        <w:rPr>
          <w:rFonts w:ascii="calibri" w:hAnsi="calibri" w:eastAsia="calibri" w:cs="calibri"/>
          <w:sz w:val="24"/>
          <w:szCs w:val="24"/>
          <w:b/>
        </w:rPr>
        <w:t xml:space="preserve">PC Pro Technology Excellence Awards 2025</w:t>
      </w:r>
      <w:r>
        <w:rPr>
          <w:rFonts w:ascii="calibri" w:hAnsi="calibri" w:eastAsia="calibri" w:cs="calibri"/>
          <w:sz w:val="24"/>
          <w:szCs w:val="24"/>
        </w:rPr>
        <w:t xml:space="preserve">, a w Hiszpanii zdobył tytuł </w:t>
      </w:r>
      <w:r>
        <w:rPr>
          <w:rFonts w:ascii="calibri" w:hAnsi="calibri" w:eastAsia="calibri" w:cs="calibri"/>
          <w:sz w:val="24"/>
          <w:szCs w:val="24"/>
          <w:b/>
        </w:rPr>
        <w:t xml:space="preserve">najlepszego rozwiązania w zakresie cyberbezpieczeństwa</w:t>
      </w:r>
      <w:r>
        <w:rPr>
          <w:rFonts w:ascii="calibri" w:hAnsi="calibri" w:eastAsia="calibri" w:cs="calibri"/>
          <w:sz w:val="24"/>
          <w:szCs w:val="24"/>
        </w:rPr>
        <w:t xml:space="preserve"> podczas </w:t>
      </w:r>
      <w:r>
        <w:rPr>
          <w:rFonts w:ascii="calibri" w:hAnsi="calibri" w:eastAsia="calibri" w:cs="calibri"/>
          <w:sz w:val="24"/>
          <w:szCs w:val="24"/>
          <w:b/>
        </w:rPr>
        <w:t xml:space="preserve">17. edycji konkursu Communicaciones Hoy Awards</w:t>
      </w:r>
      <w:r>
        <w:rPr>
          <w:rFonts w:ascii="calibri" w:hAnsi="calibri" w:eastAsia="calibri" w:cs="calibri"/>
          <w:sz w:val="24"/>
          <w:szCs w:val="24"/>
        </w:rPr>
        <w:t xml:space="preserve">. Ponadto seria </w:t>
      </w:r>
      <w:r>
        <w:rPr>
          <w:rFonts w:ascii="calibri" w:hAnsi="calibri" w:eastAsia="calibri" w:cs="calibri"/>
          <w:sz w:val="24"/>
          <w:szCs w:val="24"/>
          <w:b/>
        </w:rPr>
        <w:t xml:space="preserve">USG FLEX H</w:t>
      </w:r>
      <w:r>
        <w:rPr>
          <w:rFonts w:ascii="calibri" w:hAnsi="calibri" w:eastAsia="calibri" w:cs="calibri"/>
          <w:sz w:val="24"/>
          <w:szCs w:val="24"/>
        </w:rPr>
        <w:t xml:space="preserve"> osiągnęła lepsze wyniki niż produkty konkurencji w </w:t>
      </w:r>
      <w:hyperlink r:id="rId10" w:history="1">
        <w:r>
          <w:rPr>
            <w:rFonts w:ascii="calibri" w:hAnsi="calibri" w:eastAsia="calibri" w:cs="calibri"/>
            <w:color w:val="0000FF"/>
            <w:sz w:val="24"/>
            <w:szCs w:val="24"/>
            <w:u w:val="single"/>
          </w:rPr>
          <w:t xml:space="preserve">niezależnych testach przeprowadzonych przez Tolly Group</w:t>
        </w:r>
      </w:hyperlink>
      <w:r>
        <w:rPr>
          <w:rFonts w:ascii="calibri" w:hAnsi="calibri" w:eastAsia="calibri" w:cs="calibri"/>
          <w:sz w:val="24"/>
          <w:szCs w:val="24"/>
        </w:rPr>
        <w:t xml:space="preserve"> w Stanach Zjednoczonych, co podkreśla dobrą reputację zapór sieciowych </w:t>
      </w:r>
      <w:r>
        <w:rPr>
          <w:rFonts w:ascii="calibri" w:hAnsi="calibri" w:eastAsia="calibri" w:cs="calibri"/>
          <w:sz w:val="24"/>
          <w:szCs w:val="24"/>
          <w:b/>
        </w:rPr>
        <w:t xml:space="preserve">Zyxel Networks</w:t>
      </w:r>
      <w:r>
        <w:rPr>
          <w:rFonts w:ascii="calibri" w:hAnsi="calibri" w:eastAsia="calibri" w:cs="calibri"/>
          <w:sz w:val="24"/>
          <w:szCs w:val="24"/>
        </w:rPr>
        <w:t xml:space="preserve"> wśród specjalistów IT.</w:t>
      </w:r>
    </w:p>
    <w:p>
      <w:pPr>
        <w:spacing w:before="0" w:after="300"/>
      </w:pPr>
      <w:r>
        <w:rPr>
          <w:rFonts w:ascii="calibri" w:hAnsi="calibri" w:eastAsia="calibri" w:cs="calibri"/>
          <w:sz w:val="24"/>
          <w:szCs w:val="24"/>
          <w:i/>
          <w:iCs/>
        </w:rPr>
        <w:t xml:space="preserve">Zapora sieciowa </w:t>
      </w:r>
      <w:r>
        <w:rPr>
          <w:rFonts w:ascii="calibri" w:hAnsi="calibri" w:eastAsia="calibri" w:cs="calibri"/>
          <w:sz w:val="24"/>
          <w:szCs w:val="24"/>
          <w:b/>
          <w:i/>
          <w:iCs/>
        </w:rPr>
        <w:t xml:space="preserve">USG FLEX 50HP</w:t>
      </w:r>
      <w:r>
        <w:rPr>
          <w:rFonts w:ascii="calibri" w:hAnsi="calibri" w:eastAsia="calibri" w:cs="calibri"/>
          <w:sz w:val="24"/>
          <w:szCs w:val="24"/>
          <w:i/>
          <w:iCs/>
        </w:rPr>
        <w:t xml:space="preserve"> jest </w:t>
      </w:r>
      <w:r>
        <w:rPr>
          <w:rFonts w:ascii="calibri" w:hAnsi="calibri" w:eastAsia="calibri" w:cs="calibri"/>
          <w:sz w:val="24"/>
          <w:szCs w:val="24"/>
          <w:b/>
          <w:i/>
          <w:iCs/>
        </w:rPr>
        <w:t xml:space="preserve">dowodem naszego zaangażowania w dostarczanie zaawansowanych i dostępnych rozwiązań zabezpieczających</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w:t>
      </w:r>
      <w:r>
        <w:rPr>
          <w:rFonts w:ascii="calibri" w:hAnsi="calibri" w:eastAsia="calibri" w:cs="calibri"/>
          <w:sz w:val="24"/>
          <w:szCs w:val="24"/>
          <w:b/>
        </w:rPr>
        <w:t xml:space="preserve">Zyxel Networks Polska</w:t>
      </w:r>
      <w:r>
        <w:rPr>
          <w:rFonts w:ascii="calibri" w:hAnsi="calibri" w:eastAsia="calibri" w:cs="calibri"/>
          <w:sz w:val="24"/>
          <w:szCs w:val="24"/>
        </w:rPr>
        <w:t xml:space="preserve">. - </w:t>
      </w:r>
      <w:r>
        <w:rPr>
          <w:rFonts w:ascii="calibri" w:hAnsi="calibri" w:eastAsia="calibri" w:cs="calibri"/>
          <w:sz w:val="24"/>
          <w:szCs w:val="24"/>
          <w:i/>
          <w:iCs/>
        </w:rPr>
        <w:t xml:space="preserve">Nagroda Taiwan Excellence Award, wraz z innymi ostatnimi wyróżnieniami, potwierdza nasze wysiłki na rzecz zapewnienia małym i średnim przedsiębiorstwom oraz dostawcom usług zarządzanych na całym świecie solidnej, przyjaznej dla użytkownika i ekonomicznej ochrony przed ewoluującymi cyberzagrożeniami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dalszego wzmacniania swojego zaangażowania w zapewnienie bezpieczeństwa globalnego środowiska cyfrowego, </w:t>
      </w:r>
      <w:r>
        <w:rPr>
          <w:rFonts w:ascii="calibri" w:hAnsi="calibri" w:eastAsia="calibri" w:cs="calibri"/>
          <w:sz w:val="24"/>
          <w:szCs w:val="24"/>
        </w:rPr>
        <w:t xml:space="preserve">grupa </w:t>
      </w:r>
      <w:r>
        <w:rPr>
          <w:rFonts w:ascii="calibri" w:hAnsi="calibri" w:eastAsia="calibri" w:cs="calibri"/>
          <w:sz w:val="24"/>
          <w:szCs w:val="24"/>
          <w:b/>
        </w:rPr>
        <w:t xml:space="preserve">Zyxel</w:t>
      </w:r>
      <w:r>
        <w:rPr>
          <w:rFonts w:ascii="calibri" w:hAnsi="calibri" w:eastAsia="calibri" w:cs="calibri"/>
          <w:sz w:val="24"/>
          <w:szCs w:val="24"/>
        </w:rPr>
        <w:t xml:space="preserve"> jako </w:t>
      </w:r>
      <w:r>
        <w:rPr>
          <w:rFonts w:ascii="calibri" w:hAnsi="calibri" w:eastAsia="calibri" w:cs="calibri"/>
          <w:sz w:val="24"/>
          <w:szCs w:val="24"/>
          <w:b/>
        </w:rPr>
        <w:t xml:space="preserve">pierwsza w branży sieciowej na Tajwanie</w:t>
      </w:r>
      <w:r>
        <w:rPr>
          <w:rFonts w:ascii="calibri" w:hAnsi="calibri" w:eastAsia="calibri" w:cs="calibri"/>
          <w:sz w:val="24"/>
          <w:szCs w:val="24"/>
        </w:rPr>
        <w:t xml:space="preserve"> dołączyła </w:t>
      </w:r>
      <w:r>
        <w:rPr>
          <w:rFonts w:ascii="calibri" w:hAnsi="calibri" w:eastAsia="calibri" w:cs="calibri"/>
          <w:sz w:val="24"/>
          <w:szCs w:val="24"/>
        </w:rPr>
        <w:t xml:space="preserve">do </w:t>
      </w:r>
      <w:hyperlink r:id="rId11" w:history="1">
        <w:r>
          <w:rPr>
            <w:rFonts w:ascii="calibri" w:hAnsi="calibri" w:eastAsia="calibri" w:cs="calibri"/>
            <w:color w:val="0000FF"/>
            <w:sz w:val="24"/>
            <w:szCs w:val="24"/>
            <w:u w:val="single"/>
          </w:rPr>
          <w:t xml:space="preserve">Forum of Incident Response and Security Teams (FIRST)</w:t>
        </w:r>
      </w:hyperlink>
      <w:r>
        <w:rPr>
          <w:rFonts w:ascii="calibri" w:hAnsi="calibri" w:eastAsia="calibri" w:cs="calibri"/>
          <w:sz w:val="24"/>
          <w:szCs w:val="24"/>
        </w:rPr>
        <w:t xml:space="preserve">. Członkostwo to jeszcze bardziej wzmacnia zaangażowanie firmy Zyxel Networks w dostarczanie solidnych rozwiązań bezpieczeństwa oraz współpracę ze społecznością zajmującą się cyberbezpieczeństwem w celu zwalczania ewoluujących zagrożeń.</w:t>
      </w:r>
    </w:p>
    <w:p>
      <w:pPr>
        <w:spacing w:before="0" w:after="300"/>
      </w:pPr>
      <w:r>
        <w:rPr>
          <w:rFonts w:ascii="calibri" w:hAnsi="calibri" w:eastAsia="calibri" w:cs="calibri"/>
          <w:sz w:val="24"/>
          <w:szCs w:val="24"/>
          <w:b/>
        </w:rPr>
        <w:t xml:space="preserve">Więcej informacji na temat zapory sieciowej Zyxel Networks USG FLEX 50HP można znaleźć na </w:t>
      </w:r>
      <w:r>
        <w:rPr>
          <w:rFonts w:ascii="calibri" w:hAnsi="calibri" w:eastAsia="calibri" w:cs="calibri"/>
          <w:sz w:val="24"/>
          <w:szCs w:val="24"/>
          <w:b/>
        </w:rPr>
        <w:t xml:space="preserve">stronie </w:t>
      </w:r>
      <w:hyperlink r:id="rId7" w:history="1">
        <w:r>
          <w:rPr>
            <w:rFonts w:ascii="calibri" w:hAnsi="calibri" w:eastAsia="calibri" w:cs="calibri"/>
            <w:color w:val="0000FF"/>
            <w:sz w:val="24"/>
            <w:szCs w:val="24"/>
            <w:u w:val="single"/>
          </w:rPr>
          <w:t xml:space="preserve">https://www.zyxel.com/pl/pl/products/next-gen-firewall/usg-flex-firewall-usg-flex-50h</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yxel.com/pl/pl/products/next-gen-firewall/usg-flex-firewall-usg-flex-50h" TargetMode="External"/><Relationship Id="rId8" Type="http://schemas.openxmlformats.org/officeDocument/2006/relationships/hyperlink" Target="https://www.taiwanexcellence.org/tw/award/2026winner/" TargetMode="External"/><Relationship Id="rId9" Type="http://schemas.openxmlformats.org/officeDocument/2006/relationships/image" Target="media/section_image1.jpg"/><Relationship Id="rId10" Type="http://schemas.openxmlformats.org/officeDocument/2006/relationships/hyperlink" Target="https://tolly.com/publications/225150" TargetMode="External"/><Relationship Id="rId11" Type="http://schemas.openxmlformats.org/officeDocument/2006/relationships/hyperlink" Target="https://www.fir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2026-03-16T10:42:28+01:00</dcterms:created>
  <dcterms:modified xsi:type="dcterms:W3CDTF">2026-03-16T10:42:28+01:00</dcterms:modified>
</cp:coreProperties>
</file>

<file path=docProps/custom.xml><?xml version="1.0" encoding="utf-8"?>
<Properties xmlns="http://schemas.openxmlformats.org/officeDocument/2006/custom-properties" xmlns:vt="http://schemas.openxmlformats.org/officeDocument/2006/docPropsVTypes"/>
</file>