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wprowadza serię przełączników GS1915v2, aby ułatwić instalację sieci w małych firmach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Seria obejmująca dziewięć modeli oferuje elastyczne opcje zasilania, montażu i zarządzania. Pomaga małym firmom w szybszym wdrażaniu sieci i dostosowywaniu się do zmieniających się potrzeb.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ogłosiła wprowadzenie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serii gigabitowych inteligentnych przełączników zarządzalnych GS1915v2</w:t>
        </w:r>
      </w:hyperlink>
      <w:r>
        <w:rPr>
          <w:rFonts w:ascii="calibri" w:hAnsi="calibri" w:eastAsia="calibri" w:cs="calibri"/>
          <w:sz w:val="24"/>
          <w:szCs w:val="24"/>
        </w:rPr>
        <w:t xml:space="preserve">. Urządzenia zaprojektowano z myślą o </w:t>
      </w:r>
      <w:r>
        <w:rPr>
          <w:rFonts w:ascii="calibri" w:hAnsi="calibri" w:eastAsia="calibri" w:cs="calibri"/>
          <w:sz w:val="24"/>
          <w:szCs w:val="24"/>
          <w:b/>
        </w:rPr>
        <w:t xml:space="preserve">uproszczeniu instalacji i zarządzania siecią w małych firmach oraz u partnerów zapewniających im wsparcie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Małe biura, sklepy, kawiarnie i przychodnie rzadko dysponują specjalnie wydzielonymi pomieszczeniami na infrastrukturę sieciową. Przełączniki mogą wymagać montażu pod ladą, w magazynie lub na zapleczu, gdzie dostęp do zasilania, wentylacji i miejsca montażowego bywa ograniczony. W niektórych przypadkach nawet instalacja jednego dodatkowego urządzenia wymaga przeprowadzenia dodatkowych prac na miejscu. Dziewięć modeli serii </w:t>
      </w:r>
      <w:r>
        <w:rPr>
          <w:rFonts w:ascii="calibri" w:hAnsi="calibri" w:eastAsia="calibri" w:cs="calibri"/>
          <w:sz w:val="24"/>
          <w:szCs w:val="24"/>
          <w:b/>
        </w:rPr>
        <w:t xml:space="preserve">GS1915v2</w:t>
      </w:r>
      <w:r>
        <w:rPr>
          <w:rFonts w:ascii="calibri" w:hAnsi="calibri" w:eastAsia="calibri" w:cs="calibri"/>
          <w:sz w:val="24"/>
          <w:szCs w:val="24"/>
        </w:rPr>
        <w:t xml:space="preserve">, oferujących różną liczbę portów, opcje zasilania i łącza światłowodowe, </w:t>
      </w:r>
      <w:r>
        <w:rPr>
          <w:rFonts w:ascii="calibri" w:hAnsi="calibri" w:eastAsia="calibri" w:cs="calibri"/>
          <w:sz w:val="24"/>
          <w:szCs w:val="24"/>
          <w:b/>
        </w:rPr>
        <w:t xml:space="preserve">zapewnia większą swobodę w dopasowaniu infrastruktury sieciowej do dostępnej przestrzeni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Małe firmy nie powinny być zmuszone do przebudowywania swoich lokali tylko po to, aby zainstalować niezawodną sieć</w:t>
      </w:r>
      <w:r>
        <w:rPr>
          <w:rFonts w:ascii="calibri" w:hAnsi="calibri" w:eastAsia="calibri" w:cs="calibri"/>
          <w:sz w:val="24"/>
          <w:szCs w:val="24"/>
        </w:rPr>
        <w:t xml:space="preserve">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Seria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GS1915v2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daje im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większą swobodę wyboru miejsca i sposobu montażu przełączników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 jednocześnie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pozwala zachować prostotę zarządzania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gdy zmieniają się potrzeby firmy.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Dla naszych partnerów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— integratorów systemów i dostawców usług zarządzanych (MSP) —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jedna gama produktów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która sprawdza się w różnych środowiskach klientów,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może również uprościć zakupy, obsługę techniczną i szkolenie personelu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Rozwiązywanie codziennych problemów z instalacją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Serię </w:t>
      </w:r>
      <w:r>
        <w:rPr>
          <w:rFonts w:ascii="calibri" w:hAnsi="calibri" w:eastAsia="calibri" w:cs="calibri"/>
          <w:sz w:val="24"/>
          <w:szCs w:val="24"/>
          <w:b/>
        </w:rPr>
        <w:t xml:space="preserve">GS1915v2 </w:t>
      </w:r>
      <w:r>
        <w:rPr>
          <w:rFonts w:ascii="calibri" w:hAnsi="calibri" w:eastAsia="calibri" w:cs="calibri"/>
          <w:sz w:val="24"/>
          <w:szCs w:val="24"/>
        </w:rPr>
        <w:t xml:space="preserve">zaprojektowano tak, aby można ją było stosować </w:t>
      </w:r>
      <w:r>
        <w:rPr>
          <w:rFonts w:ascii="calibri" w:hAnsi="calibri" w:eastAsia="calibri" w:cs="calibri"/>
          <w:sz w:val="24"/>
          <w:szCs w:val="24"/>
          <w:b/>
        </w:rPr>
        <w:t xml:space="preserve">w różnorodnych środowiskach małych firm bez konieczności kosztownych zmian w obiekcie</w:t>
      </w:r>
      <w:r>
        <w:rPr>
          <w:rFonts w:ascii="calibri" w:hAnsi="calibri" w:eastAsia="calibri" w:cs="calibri"/>
          <w:sz w:val="24"/>
          <w:szCs w:val="24"/>
        </w:rPr>
        <w:t xml:space="preserve">. Elastyczność zapewniają różne warianty urządzeń oraz praktyczne rozwiązania konstrukcyjne.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Modele dopasowane do różnych zastosowań: </w:t>
      </w:r>
      <w:r>
        <w:rPr>
          <w:rFonts w:ascii="calibri" w:hAnsi="calibri" w:eastAsia="calibri" w:cs="calibri"/>
          <w:sz w:val="24"/>
          <w:szCs w:val="24"/>
        </w:rPr>
        <w:t xml:space="preserve">dziewięć modeli oferuje konfiguracje </w:t>
      </w:r>
      <w:r>
        <w:rPr>
          <w:rFonts w:ascii="calibri" w:hAnsi="calibri" w:eastAsia="calibri" w:cs="calibri"/>
          <w:sz w:val="24"/>
          <w:szCs w:val="24"/>
          <w:b/>
        </w:rPr>
        <w:t xml:space="preserve">z 8, 10, 16 i 24 portami</w:t>
      </w:r>
      <w:r>
        <w:rPr>
          <w:rFonts w:ascii="calibri" w:hAnsi="calibri" w:eastAsia="calibri" w:cs="calibri"/>
          <w:sz w:val="24"/>
          <w:szCs w:val="24"/>
        </w:rPr>
        <w:t xml:space="preserve">, zarówno </w:t>
      </w:r>
      <w:r>
        <w:rPr>
          <w:rFonts w:ascii="calibri" w:hAnsi="calibri" w:eastAsia="calibri" w:cs="calibri"/>
          <w:sz w:val="24"/>
          <w:szCs w:val="24"/>
          <w:b/>
        </w:rPr>
        <w:t xml:space="preserve">z obsługą PoE, jak i bez niej</w:t>
      </w:r>
      <w:r>
        <w:rPr>
          <w:rFonts w:ascii="calibri" w:hAnsi="calibri" w:eastAsia="calibri" w:cs="calibri"/>
          <w:sz w:val="24"/>
          <w:szCs w:val="24"/>
        </w:rPr>
        <w:t xml:space="preserve">, aby dopasować się do różnych potrzeb w zakresie zasilania. </w:t>
      </w:r>
      <w:r>
        <w:rPr>
          <w:rFonts w:ascii="calibri" w:hAnsi="calibri" w:eastAsia="calibri" w:cs="calibri"/>
          <w:sz w:val="24"/>
          <w:szCs w:val="24"/>
          <w:b/>
        </w:rPr>
        <w:t xml:space="preserve">Łącza światłowodowe</w:t>
      </w:r>
      <w:r>
        <w:rPr>
          <w:rFonts w:ascii="calibri" w:hAnsi="calibri" w:eastAsia="calibri" w:cs="calibri"/>
          <w:sz w:val="24"/>
          <w:szCs w:val="24"/>
        </w:rPr>
        <w:t xml:space="preserve"> umożliwiają niezawodną transmisję danych na duże odległości, a </w:t>
      </w:r>
      <w:r>
        <w:rPr>
          <w:rFonts w:ascii="calibri" w:hAnsi="calibri" w:eastAsia="calibri" w:cs="calibri"/>
          <w:sz w:val="24"/>
          <w:szCs w:val="24"/>
          <w:b/>
        </w:rPr>
        <w:t xml:space="preserve">modele bez wentylatorów</w:t>
      </w:r>
      <w:r>
        <w:rPr>
          <w:rFonts w:ascii="calibri" w:hAnsi="calibri" w:eastAsia="calibri" w:cs="calibri"/>
          <w:sz w:val="24"/>
          <w:szCs w:val="24"/>
        </w:rPr>
        <w:t xml:space="preserve"> zapewniają cichą pracę w miejscach, w których hałas ma znaczenie.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Elastyczne zasilanie i okablowanie: </w:t>
      </w:r>
      <w:r>
        <w:rPr>
          <w:rFonts w:ascii="calibri" w:hAnsi="calibri" w:eastAsia="calibri" w:cs="calibri"/>
          <w:sz w:val="24"/>
          <w:szCs w:val="24"/>
        </w:rPr>
        <w:t xml:space="preserve">sześć modeli obsługujących </w:t>
      </w:r>
      <w:r>
        <w:rPr>
          <w:rFonts w:ascii="calibri" w:hAnsi="calibri" w:eastAsia="calibri" w:cs="calibri"/>
          <w:sz w:val="24"/>
          <w:szCs w:val="24"/>
          <w:b/>
        </w:rPr>
        <w:t xml:space="preserve">PoE</w:t>
      </w:r>
      <w:r>
        <w:rPr>
          <w:rFonts w:ascii="calibri" w:hAnsi="calibri" w:eastAsia="calibri" w:cs="calibri"/>
          <w:sz w:val="24"/>
          <w:szCs w:val="24"/>
        </w:rPr>
        <w:t xml:space="preserve"> oferuje budżet mocy </w:t>
      </w:r>
      <w:r>
        <w:rPr>
          <w:rFonts w:ascii="calibri" w:hAnsi="calibri" w:eastAsia="calibri" w:cs="calibri"/>
          <w:sz w:val="24"/>
          <w:szCs w:val="24"/>
          <w:b/>
        </w:rPr>
        <w:t xml:space="preserve">od 60 W do 180 W</w:t>
      </w:r>
      <w:r>
        <w:rPr>
          <w:rFonts w:ascii="calibri" w:hAnsi="calibri" w:eastAsia="calibri" w:cs="calibri"/>
          <w:sz w:val="24"/>
          <w:szCs w:val="24"/>
        </w:rPr>
        <w:t xml:space="preserve">. Pozwala to przesyłać dane i zasilać kamery IP, punkty dostępowe WiFi oraz systemy kontroli dostępu za pomocą jednego kabla. Model </w:t>
      </w:r>
      <w:r>
        <w:rPr>
          <w:rFonts w:ascii="calibri" w:hAnsi="calibri" w:eastAsia="calibri" w:cs="calibri"/>
          <w:sz w:val="24"/>
          <w:szCs w:val="24"/>
          <w:b/>
        </w:rPr>
        <w:t xml:space="preserve">GS1915-8PDv2</w:t>
      </w:r>
      <w:r>
        <w:rPr>
          <w:rFonts w:ascii="calibri" w:hAnsi="calibri" w:eastAsia="calibri" w:cs="calibri"/>
          <w:sz w:val="24"/>
          <w:szCs w:val="24"/>
        </w:rPr>
        <w:t xml:space="preserve">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zasilany z innego przełącznika PoE</w:t>
      </w:r>
      <w:r>
        <w:rPr>
          <w:rFonts w:ascii="calibri" w:hAnsi="calibri" w:eastAsia="calibri" w:cs="calibri"/>
          <w:sz w:val="24"/>
          <w:szCs w:val="24"/>
        </w:rPr>
        <w:t xml:space="preserve">, co ułatwia jego </w:t>
      </w:r>
      <w:r>
        <w:rPr>
          <w:rFonts w:ascii="calibri" w:hAnsi="calibri" w:eastAsia="calibri" w:cs="calibri"/>
          <w:sz w:val="24"/>
          <w:szCs w:val="24"/>
          <w:b/>
        </w:rPr>
        <w:t xml:space="preserve">instalację w miejscach bez dostępu do gniazdka elektrycznego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Wszechstronne opcje montażu: </w:t>
      </w:r>
      <w:r>
        <w:rPr>
          <w:rFonts w:ascii="calibri" w:hAnsi="calibri" w:eastAsia="calibri" w:cs="calibri"/>
          <w:sz w:val="24"/>
          <w:szCs w:val="24"/>
        </w:rPr>
        <w:t xml:space="preserve">możliwość montażu </w:t>
      </w:r>
      <w:r>
        <w:rPr>
          <w:rFonts w:ascii="calibri" w:hAnsi="calibri" w:eastAsia="calibri" w:cs="calibri"/>
          <w:sz w:val="24"/>
          <w:szCs w:val="24"/>
          <w:b/>
        </w:rPr>
        <w:t xml:space="preserve">na biurku, na ścianie, w szafie rack lub na szynie DIN</w:t>
      </w:r>
      <w:r>
        <w:rPr>
          <w:rFonts w:ascii="calibri" w:hAnsi="calibri" w:eastAsia="calibri" w:cs="calibri"/>
          <w:sz w:val="24"/>
          <w:szCs w:val="24"/>
        </w:rPr>
        <w:t xml:space="preserve"> pozwala dopasować przełączniki do istniejącej przestrzeni bez dodatkowych prac budowlanych.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Cicha praca: bezwentylatorowa konstrukcja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modele z inteligentnym sterowaniem wentylatorem</w:t>
      </w:r>
      <w:r>
        <w:rPr>
          <w:rFonts w:ascii="calibri" w:hAnsi="calibri" w:eastAsia="calibri" w:cs="calibri"/>
          <w:sz w:val="24"/>
          <w:szCs w:val="24"/>
        </w:rPr>
        <w:t xml:space="preserve"> pomagają zapewnić cichą i niezawodną pracę sieci firmowej.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Prostsze zarządzania siecią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oferuje małym firmom możliwość wyboru między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zarządzaniem w chmurze a lokalnym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Skalowalne zarządzanie w chmurze: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platforma chmurowa Nebula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zapewnia małym firmom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bezpłatny dostęp do podstawowych funkcji</w:t>
      </w:r>
      <w:r>
        <w:rPr>
          <w:rFonts w:ascii="calibri" w:hAnsi="calibri" w:eastAsia="calibri" w:cs="calibri"/>
          <w:sz w:val="24"/>
          <w:szCs w:val="24"/>
        </w:rPr>
        <w:t xml:space="preserve">, w tym </w:t>
      </w:r>
      <w:r>
        <w:rPr>
          <w:rFonts w:ascii="calibri" w:hAnsi="calibri" w:eastAsia="calibri" w:cs="calibri"/>
          <w:sz w:val="24"/>
          <w:szCs w:val="24"/>
          <w:b/>
        </w:rPr>
        <w:t xml:space="preserve">zdalnej konfiguracji, monitorowania w czasie rzeczywistym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scentralizowanego zarządzania</w:t>
      </w:r>
      <w:r>
        <w:rPr>
          <w:rFonts w:ascii="calibri" w:hAnsi="calibri" w:eastAsia="calibri" w:cs="calibri"/>
          <w:sz w:val="24"/>
          <w:szCs w:val="24"/>
        </w:rPr>
        <w:t xml:space="preserve">. Wraz z rozwojem firmy </w:t>
      </w:r>
      <w:r>
        <w:rPr>
          <w:rFonts w:ascii="calibri" w:hAnsi="calibri" w:eastAsia="calibri" w:cs="calibri"/>
          <w:sz w:val="24"/>
          <w:szCs w:val="24"/>
          <w:b/>
        </w:rPr>
        <w:t xml:space="preserve">można rozszerzyć zakres dostępnych funkcji bez konieczności ponownego inwestowania w podstawowe funkcje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Rozszerzone możliwości zarządzania: </w:t>
      </w:r>
      <w:r>
        <w:rPr>
          <w:rFonts w:ascii="calibri" w:hAnsi="calibri" w:eastAsia="calibri" w:cs="calibri"/>
          <w:sz w:val="24"/>
          <w:szCs w:val="24"/>
        </w:rPr>
        <w:t xml:space="preserve">oprócz rozbudowanego </w:t>
      </w:r>
      <w:r>
        <w:rPr>
          <w:rFonts w:ascii="calibri" w:hAnsi="calibri" w:eastAsia="calibri" w:cs="calibri"/>
          <w:sz w:val="24"/>
          <w:szCs w:val="24"/>
          <w:b/>
        </w:rPr>
        <w:t xml:space="preserve">zestawu funkcji zarządzania w warstwie drugiej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b/>
        </w:rPr>
        <w:t xml:space="preserve">L2)</w:t>
      </w:r>
      <w:r>
        <w:rPr>
          <w:rFonts w:ascii="calibri" w:hAnsi="calibri" w:eastAsia="calibri" w:cs="calibri"/>
          <w:sz w:val="24"/>
          <w:szCs w:val="24"/>
        </w:rPr>
        <w:t xml:space="preserve">, seria oferuje </w:t>
      </w:r>
      <w:r>
        <w:rPr>
          <w:rFonts w:ascii="calibri" w:hAnsi="calibri" w:eastAsia="calibri" w:cs="calibri"/>
          <w:sz w:val="24"/>
          <w:szCs w:val="24"/>
          <w:b/>
        </w:rPr>
        <w:t xml:space="preserve">udoskonalone funkcje ACL i dynamicznych sieci VLAN</w:t>
      </w:r>
      <w:r>
        <w:rPr>
          <w:rFonts w:ascii="calibri" w:hAnsi="calibri" w:eastAsia="calibri" w:cs="calibri"/>
          <w:sz w:val="24"/>
          <w:szCs w:val="24"/>
        </w:rPr>
        <w:t xml:space="preserve">, zwiększające kontrolę dostępu i ułatwiające segmentację sieci.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Łatwiejsza kontrola stanu urządzenia: </w:t>
      </w:r>
      <w:r>
        <w:rPr>
          <w:rFonts w:ascii="calibri" w:hAnsi="calibri" w:eastAsia="calibri" w:cs="calibri"/>
          <w:sz w:val="24"/>
          <w:szCs w:val="24"/>
        </w:rPr>
        <w:t xml:space="preserve">przeprojektowany panel przedni z uproszczonymi ikonami i bardziej przejrzystym układem diod LED </w:t>
      </w:r>
      <w:r>
        <w:rPr>
          <w:rFonts w:ascii="calibri" w:hAnsi="calibri" w:eastAsia="calibri" w:cs="calibri"/>
          <w:sz w:val="24"/>
          <w:szCs w:val="24"/>
          <w:b/>
        </w:rPr>
        <w:t xml:space="preserve">pozwala szybciej ocenić stan sieci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Mniejszy wpływ na środowisko dzięki przemyślanym rozwiązaniom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</w:t>
      </w:r>
      <w:r>
        <w:rPr>
          <w:rFonts w:ascii="calibri" w:hAnsi="calibri" w:eastAsia="calibri" w:cs="calibri"/>
          <w:sz w:val="24"/>
          <w:szCs w:val="24"/>
          <w:b/>
        </w:rPr>
        <w:t xml:space="preserve">GS1915v2</w:t>
      </w:r>
      <w:r>
        <w:rPr>
          <w:rFonts w:ascii="calibri" w:hAnsi="calibri" w:eastAsia="calibri" w:cs="calibri"/>
          <w:sz w:val="24"/>
          <w:szCs w:val="24"/>
        </w:rPr>
        <w:t xml:space="preserve"> wprowadza również zmiany, które </w:t>
      </w:r>
      <w:r>
        <w:rPr>
          <w:rFonts w:ascii="calibri" w:hAnsi="calibri" w:eastAsia="calibri" w:cs="calibri"/>
          <w:sz w:val="24"/>
          <w:szCs w:val="24"/>
          <w:b/>
        </w:rPr>
        <w:t xml:space="preserve">pomagają ograniczyć ilość odpadów i zwiększyć efektywność transportu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Bardziej efektywne opakowanie: kompaktowa konstrukcja urządzeń i zoptymalizowane opakowania pozwalają umieścić więcej sztuk na jednej palecie. Można na niej przewieźć nawet o 198% urządzeń w porównaniu z poprzednią generacją[1].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Sterowanie diodami LED: </w:t>
      </w:r>
      <w:r>
        <w:rPr>
          <w:rFonts w:ascii="calibri" w:hAnsi="calibri" w:eastAsia="calibri" w:cs="calibri"/>
          <w:sz w:val="24"/>
          <w:szCs w:val="24"/>
        </w:rPr>
        <w:t xml:space="preserve">specjalny przycisk pozwala wyłączyć diody LED na panelu przednim, </w:t>
      </w:r>
      <w:r>
        <w:rPr>
          <w:rFonts w:ascii="calibri" w:hAnsi="calibri" w:eastAsia="calibri" w:cs="calibri"/>
          <w:sz w:val="24"/>
          <w:szCs w:val="24"/>
          <w:b/>
        </w:rPr>
        <w:t xml:space="preserve">ograniczając niepotrzebne zużycie energii i uciążliwość światła</w:t>
      </w:r>
      <w:r>
        <w:rPr>
          <w:rFonts w:ascii="calibri" w:hAnsi="calibri" w:eastAsia="calibri" w:cs="calibri"/>
          <w:sz w:val="24"/>
          <w:szCs w:val="24"/>
        </w:rPr>
        <w:t xml:space="preserve"> w pomieszczeniach mieszkalnych, domowych biurach i innych słabo oświetlonych miejscach.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Pełną gamę modeli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GS1915v2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oraz ich specyfikacje techniczne można znaleźć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stronie serii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podstawie wzrostu łącznej liczby urządzeń na palecie, przy porównaniu modelu GS1915-8PDv2 z modelem poprzedniej generacji GS1915-8/8EP.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yxel.com/global/en/products/switch/gs1915v2-series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zyxel.com/pl/pl/products/nebula-cloud-center/nebula-control-center" TargetMode="External"/><Relationship Id="rId10" Type="http://schemas.openxmlformats.org/officeDocument/2006/relationships/hyperlink" Target="http://zyxel.biuroprasowe.pl/word/?hash=665cdd33ae7948a02e4e64cac5898bf1&amp;id=213160&amp;typ=epr#_ftnre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2026-10-13T17:42:18+02:00</dcterms:created>
  <dcterms:modified xsi:type="dcterms:W3CDTF">2026-10-13T17:42:18+02:00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