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Zyxel Networks osiąga zgodność z normą EU RED EN 18031 w całym portfolio produktów bezprzewodowych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jest jedną z pierwszych, które wykazały zgodność z najnowszymi standardami cyberbezpieczeństwa UE, wzmacniając zaangażowanie w bezpieczną sieć dla małych i średnich przedsiębiorstw.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, lider w dostarczaniu bezpiecznych i opartych na sztucznej inteligencji rozwiązań sieciowych w chmurze, </w:t>
      </w:r>
      <w:r>
        <w:rPr>
          <w:rFonts w:ascii="calibri" w:hAnsi="calibri" w:eastAsia="calibri" w:cs="calibri"/>
          <w:sz w:val="24"/>
          <w:szCs w:val="24"/>
        </w:rPr>
        <w:t xml:space="preserve">osiągnął pełną zgodność swojego portfolio produktów bezprzewodowych z wymogami cyberbezpieczeństwa Unii Europejskiej określonymi w </w:t>
      </w:r>
      <w:r>
        <w:rPr>
          <w:rFonts w:ascii="calibri" w:hAnsi="calibri" w:eastAsia="calibri" w:cs="calibri"/>
          <w:sz w:val="24"/>
          <w:szCs w:val="24"/>
          <w:b/>
        </w:rPr>
        <w:t xml:space="preserve">dyrektywie w sprawie urządzeń radiowych (RED) EN 18031</w:t>
      </w:r>
      <w:r>
        <w:rPr>
          <w:rFonts w:ascii="calibri" w:hAnsi="calibri" w:eastAsia="calibri" w:cs="calibri"/>
          <w:sz w:val="24"/>
          <w:szCs w:val="24"/>
        </w:rPr>
        <w:t xml:space="preserve">. Od bezprzewodowych punktów dostępowych i bezpiecznych routerów po routery mobilne, rozwiązania bezprzewodowe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 spełniają teraz rygorystyczne kryteria dyrektywy, co pomaga chronić dane i prywatność małych i średnich firm na całym świecie.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Niezbywalne regulacje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celu zwiększenia bezpieczeństwa cyfrowego w całym regionie, UE wymaga obecnie zgodności z normami cyberbezpieczeństwa EN 18031 dla wszystkich urządzeń bezprzewodowych i radiowych sprzedawanych w UE. To przełomowe rozporządzenie </w:t>
      </w:r>
      <w:r>
        <w:rPr>
          <w:rFonts w:ascii="calibri" w:hAnsi="calibri" w:eastAsia="calibri" w:cs="calibri"/>
          <w:sz w:val="24"/>
          <w:szCs w:val="24"/>
          <w:b/>
        </w:rPr>
        <w:t xml:space="preserve">podnosi cyberbezpieczeństwo</w:t>
      </w:r>
      <w:r>
        <w:rPr>
          <w:rFonts w:ascii="calibri" w:hAnsi="calibri" w:eastAsia="calibri" w:cs="calibri"/>
          <w:sz w:val="24"/>
          <w:szCs w:val="24"/>
        </w:rPr>
        <w:t xml:space="preserve"> do tego samego poziomu ważności, co bezpieczeństwo elektryczne i elektromagnetyczne.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ponad 30 konkretnym wymogom bezpieczeństwa, w tym bezpiecznemu uruchamianiu, kontroli dostępu , integralności aktualizacji oprogramowania i monitorowaniu ruchu, norma EN 18031 ma na celu wzmocnienie ochrony zarówno użytkowników, danych, jak i sieci.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Wbudowane zabezpieczenia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</w:t>
      </w:r>
      <w:r>
        <w:rPr>
          <w:rFonts w:ascii="calibri" w:hAnsi="calibri" w:eastAsia="calibri" w:cs="calibri"/>
          <w:sz w:val="24"/>
          <w:szCs w:val="24"/>
          <w:b/>
        </w:rPr>
        <w:t xml:space="preserve"> Zyxel Networks</w:t>
      </w:r>
      <w:r>
        <w:rPr>
          <w:rFonts w:ascii="calibri" w:hAnsi="calibri" w:eastAsia="calibri" w:cs="calibri"/>
          <w:sz w:val="24"/>
          <w:szCs w:val="24"/>
        </w:rPr>
        <w:t xml:space="preserve"> jest dumna z tego, że jest jednym z pierwszych dostawców w branży, który wykazał zgodność całego portfolio, dając partnerom i klientom pewność, że jego produkty bezprzewodowe są zbudowane na fundamencie proaktywnych, wbudowanych zabezpieczeń. Osiągnięcie to podkreśla szersze zaangażowanie </w:t>
      </w:r>
      <w:r>
        <w:rPr>
          <w:rFonts w:ascii="calibri" w:hAnsi="calibri" w:eastAsia="calibri" w:cs="calibri"/>
          <w:sz w:val="24"/>
          <w:szCs w:val="24"/>
        </w:rPr>
        <w:t xml:space="preserve">firmy </w:t>
      </w:r>
      <w:r>
        <w:rPr>
          <w:rFonts w:ascii="calibri" w:hAnsi="calibri" w:eastAsia="calibri" w:cs="calibri"/>
          <w:sz w:val="24"/>
          <w:szCs w:val="24"/>
        </w:rPr>
        <w:t xml:space="preserve">w zasady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Secure by Design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część Grupy Zyxel,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wspiera zobowiązanie Grupy do realizacji inicjatywy Secure by Design amerykańskiej Agencji Bezpieczeństwa Cybernetycznego i Infrastruktury (CISA). Zgodnie z tymi zasadami firma </w:t>
      </w:r>
      <w:r>
        <w:rPr>
          <w:rFonts w:ascii="calibri" w:hAnsi="calibri" w:eastAsia="calibri" w:cs="calibri"/>
          <w:sz w:val="24"/>
          <w:szCs w:val="24"/>
          <w:b/>
        </w:rPr>
        <w:t xml:space="preserve">jako pierwsza na świecie oferuje uwierzytelnianie wieloskładnikowe (MFA) dla użytkowników zdalnych punktów dostępowych za pośrednictwem funkcji </w:t>
      </w:r>
      <w:r>
        <w:rPr>
          <w:rFonts w:ascii="calibri" w:hAnsi="calibri" w:eastAsia="calibri" w:cs="calibri"/>
          <w:sz w:val="24"/>
          <w:szCs w:val="24"/>
          <w:b/>
        </w:rPr>
        <w:t xml:space="preserve">Secure WiFi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Wiodąca pozycja Grupy w zakresie cyberbezpieczeństwa znajduje również odzwierciedlenie w jej statusie </w:t>
      </w:r>
      <w:r>
        <w:rPr>
          <w:rFonts w:ascii="calibri" w:hAnsi="calibri" w:eastAsia="calibri" w:cs="calibri"/>
          <w:sz w:val="24"/>
          <w:szCs w:val="24"/>
          <w:b/>
        </w:rPr>
        <w:t xml:space="preserve">jedynego dostawcy w segmencie SMB, który osiągnął najwyższy poziom akceptacji jako CVE Numbering Authority (CNA)</w:t>
      </w:r>
      <w:r>
        <w:rPr>
          <w:rFonts w:ascii="calibri" w:hAnsi="calibri" w:eastAsia="calibri" w:cs="calibri"/>
          <w:sz w:val="24"/>
          <w:szCs w:val="24"/>
        </w:rPr>
        <w:t xml:space="preserve">, podkreślając swój wkład w odpowiedzialne ujawnianie i naprawianie zagrożeń bezpieczeństwa.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Przejrzysta i odpowiedzialna zgodność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Bezpieczeństwo od dawna ma kluczowe znaczenie dla sposobu, w jaki projektujemy i dostarczamy nasze rozwiązania sieciowe</w:t>
      </w:r>
      <w:r>
        <w:rPr>
          <w:rFonts w:ascii="calibri" w:hAnsi="calibri" w:eastAsia="calibri" w:cs="calibri"/>
          <w:sz w:val="24"/>
          <w:szCs w:val="24"/>
        </w:rPr>
        <w:t xml:space="preserve">- powiedział </w:t>
      </w:r>
      <w:r>
        <w:rPr>
          <w:rFonts w:ascii="calibri" w:hAnsi="calibri" w:eastAsia="calibri" w:cs="calibri"/>
          <w:sz w:val="24"/>
          <w:szCs w:val="24"/>
          <w:b/>
        </w:rPr>
        <w:t xml:space="preserve">Norbert Ogłoziński</w:t>
      </w:r>
      <w:r>
        <w:rPr>
          <w:rFonts w:ascii="calibri" w:hAnsi="calibri" w:eastAsia="calibri" w:cs="calibri"/>
          <w:sz w:val="24"/>
          <w:szCs w:val="24"/>
        </w:rPr>
        <w:t xml:space="preserve">, Country, Sales Manager,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 Polska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pełni popieramy przyszłościowe posunięcie UE, ponieważ jest ono zgodne z naszą wieloletnią wizją ochrony naszych klientów i partnerów. Rozporządzenie to podnosi poprzeczkę dla całej branży, a tym samym zwiększa odporność infrastruktury cyfrowej nie tylko w UE, ale na całym świecie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Wczesna zgodność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 wzmacnia misję dostarczania zaufanych, bezpiecznych i wysokowydajnych rozwiązań dla małych i średnich firm, które poruszają się w coraz bardziej złożonym środowisku zagrożeń. Więcej informacji można znaleźć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https://www.zyxel.com/pl/pl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zyxel.com/pl/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2026-08-24T04:48:35+02:00</dcterms:created>
  <dcterms:modified xsi:type="dcterms:W3CDTF">2026-08-24T04:48:35+02:00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