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osiąga zgodność z normą EU RED EN 18031 w całym portfolio produktów bezprzewodowych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jest jedną z pierwszych, które wykazały zgodność z najnowszymi standardami cyberbezpieczeństwa UE, wzmacniając zaangażowanie w bezpieczną sieć dla małych i średnich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osiągnął pełną zgodność swojego portfolio produktów bezprzewodowych z wymogami cyberbezpieczeństwa Unii Europejskiej określonymi w </w:t>
      </w:r>
      <w:r>
        <w:rPr>
          <w:rFonts w:ascii="calibri" w:hAnsi="calibri" w:eastAsia="calibri" w:cs="calibri"/>
          <w:sz w:val="24"/>
          <w:szCs w:val="24"/>
          <w:b/>
        </w:rPr>
        <w:t xml:space="preserve">dyrektywie w sprawie urządzeń radiowych (RED) EN 18031</w:t>
      </w:r>
      <w:r>
        <w:rPr>
          <w:rFonts w:ascii="calibri" w:hAnsi="calibri" w:eastAsia="calibri" w:cs="calibri"/>
          <w:sz w:val="24"/>
          <w:szCs w:val="24"/>
        </w:rPr>
        <w:t xml:space="preserve">. Od bezprzewodowych punktów dostępowych i bezpiecznych routerów po routery mobilne, rozwiązania bezprzewodowe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spełniają teraz rygorystyczne kryteria dyrektywy, co pomaga chronić dane i prywatność małych i średnich firm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Niezbywalne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bezpieczeństwa cyfrowego w całym regionie, UE wymaga obecnie zgodności z normami cyberbezpieczeństwa EN 18031 dla wszystkich urządzeń bezprzewodowych i radiowych sprzedawanych w UE. To przełomowe rozporządzenie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cyberbezpieczeństwo</w:t>
      </w:r>
      <w:r>
        <w:rPr>
          <w:rFonts w:ascii="calibri" w:hAnsi="calibri" w:eastAsia="calibri" w:cs="calibri"/>
          <w:sz w:val="24"/>
          <w:szCs w:val="24"/>
        </w:rPr>
        <w:t xml:space="preserve"> do tego samego poziomu ważności, co bezpieczeństwo elektryczne i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30 konkretnym wymogom bezpieczeństwa, w tym bezpiecznemu uruchamianiu, kontroli dostępu , integralności aktualizacji oprogramowania i monitorowaniu ruchu, norma EN 18031 ma na celu wzmocnienie ochrony zarówno użytkowników, danych, jak i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Wbudowane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dumna z tego, że jest jednym z pierwszych dostawców w branży, który wykazał zgodność całego portfolio, dając partnerom i klientom pewność, że jego produkty bezprzewodowe są zbudowane na fundamencie proaktywnych, wbudowanych zabezpieczeń. Osiągnięcie to podkreśla szersze zaangażowanie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w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Grupy Zyxel,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zobowiązanie Grupy do realizacji inicjatywy Secure by Design amerykańskiej Agencji Bezpieczeństwa Cybernetycznego i Infrastruktury (CISA). Zgodnie z tymi zasadami firma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oferuje uwierzytelnianie wieloskładnikowe (MFA) dla użytkowników zdalnych punktów dostępowych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Wiodąca pozycja Grupy w zakresie cyberbezpieczeństwa znajduje również odzwierciedlenie w jej statusie </w:t>
      </w:r>
      <w:r>
        <w:rPr>
          <w:rFonts w:ascii="calibri" w:hAnsi="calibri" w:eastAsia="calibri" w:cs="calibri"/>
          <w:sz w:val="24"/>
          <w:szCs w:val="24"/>
          <w:b/>
        </w:rPr>
        <w:t xml:space="preserve">jedynego dostawcy w segmencie SMB, który osiągnął najwyższy poziom akceptacji jako 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, podkreślając swój wkład w odpowiedzialne ujawnianie i naprawianie zagrożeń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Przejrzysta i odpowiedzialna zgodność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od dawna ma kluczowe znaczenie dla sposobu, w jaki projektujemy i dostarczamy nasze rozwiązania sieciowe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Country,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pełni popieramy przyszłościowe posunięcie UE, ponieważ jest ono zgodne z naszą wieloletnią wizją ochrony naszych klientów i partnerów. Rozporządzenie to podnosi poprzeczkę dla całej branży, a tym samym zwiększa odporność infrastruktury cyfrowej nie tylko w UE, ale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Wczesna zgodność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wzmacnia misję dostarczania zaufanych, bezpiecznych i wysokowydajnych rozwiązań dla małych i średnich firm, które poruszają się w coraz bardziej złożonym środowisku zagrożeń.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2025-11-04T14:12:41+01:00</dcterms:created>
  <dcterms:modified xsi:type="dcterms:W3CDTF">2025-11-04T14:12:41+01:00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