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Zyxel Group w ścisłej światowej czołówce rankingu S&amp;P Sustainability Yearbook 2026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Zyxel znalazła się w rankingu S&amp;P Global Sustainability Yearbook 2026, plasując się w gronie 1% najlepszych firm w branży sprzętu komunikacyjnego.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Zyxel Networks</w:t>
      </w:r>
      <w:r>
        <w:rPr>
          <w:rFonts w:ascii="calibri" w:hAnsi="calibri" w:eastAsia="calibri" w:cs="calibri"/>
          <w:sz w:val="24"/>
          <w:szCs w:val="24"/>
        </w:rPr>
        <w:t xml:space="preserve">, lider w dostarczaniu bezpiecznych i opartych na sztucznej inteligencji rozwiązań sieciowych w chmurze, </w:t>
      </w:r>
      <w:r>
        <w:rPr>
          <w:rFonts w:ascii="calibri" w:hAnsi="calibri" w:eastAsia="calibri" w:cs="calibri"/>
          <w:sz w:val="24"/>
          <w:szCs w:val="24"/>
        </w:rPr>
        <w:t xml:space="preserve">poinformował, że </w:t>
      </w:r>
      <w:r>
        <w:rPr>
          <w:rFonts w:ascii="calibri" w:hAnsi="calibri" w:eastAsia="calibri" w:cs="calibri"/>
          <w:sz w:val="24"/>
          <w:szCs w:val="24"/>
          <w:b/>
        </w:rPr>
        <w:t xml:space="preserve">Zyxel Group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znalazła się w rankingu </w:t>
      </w:r>
      <w:r>
        <w:rPr>
          <w:rFonts w:ascii="calibri" w:hAnsi="calibri" w:eastAsia="calibri" w:cs="calibri"/>
          <w:sz w:val="24"/>
          <w:szCs w:val="24"/>
          <w:b/>
        </w:rPr>
        <w:t xml:space="preserve">S&amp;P Global Sustainability Yearbook 2026</w:t>
      </w:r>
      <w:r>
        <w:rPr>
          <w:rFonts w:ascii="calibri" w:hAnsi="calibri" w:eastAsia="calibri" w:cs="calibri"/>
          <w:sz w:val="24"/>
          <w:szCs w:val="24"/>
        </w:rPr>
        <w:t xml:space="preserve">, plasując się w gronie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1% najlepszych firm w branży sprzętu komunikacyjnego</w:t>
        </w:r>
      </w:hyperlink>
      <w:r>
        <w:rPr>
          <w:rFonts w:ascii="calibri" w:hAnsi="calibri" w:eastAsia="calibri" w:cs="calibri"/>
          <w:sz w:val="24"/>
          <w:szCs w:val="24"/>
        </w:rPr>
        <w:t xml:space="preserve">. Wyróżnienie to podkreśla wiodącą rolę firmy w zakresie globalnych standardów ESG oraz jej zaangażowanie w przejrzyste i zrównoważone zarządzanie przedsiębiorstwem.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S&amp;P Global Sustainability Yearbook</w:t>
      </w:r>
      <w:r>
        <w:rPr>
          <w:rFonts w:ascii="calibri" w:hAnsi="calibri" w:eastAsia="calibri" w:cs="calibri"/>
          <w:sz w:val="24"/>
          <w:szCs w:val="24"/>
        </w:rPr>
        <w:t xml:space="preserve"> to </w:t>
      </w:r>
      <w:r>
        <w:rPr>
          <w:rFonts w:ascii="calibri" w:hAnsi="calibri" w:eastAsia="calibri" w:cs="calibri"/>
          <w:sz w:val="24"/>
          <w:szCs w:val="24"/>
          <w:b/>
        </w:rPr>
        <w:t xml:space="preserve">czołowy przewodnik po standardach ESG</w:t>
      </w:r>
      <w:r>
        <w:rPr>
          <w:rFonts w:ascii="calibri" w:hAnsi="calibri" w:eastAsia="calibri" w:cs="calibri"/>
          <w:sz w:val="24"/>
          <w:szCs w:val="24"/>
        </w:rPr>
        <w:t xml:space="preserve">, opracowany na podstawie indeksów </w:t>
      </w:r>
      <w:r>
        <w:rPr>
          <w:rFonts w:ascii="calibri" w:hAnsi="calibri" w:eastAsia="calibri" w:cs="calibri"/>
          <w:sz w:val="24"/>
          <w:szCs w:val="24"/>
          <w:b/>
        </w:rPr>
        <w:t xml:space="preserve">Dow Jones Sustainability Indices (DJSI)</w:t>
      </w:r>
      <w:r>
        <w:rPr>
          <w:rFonts w:ascii="calibri" w:hAnsi="calibri" w:eastAsia="calibri" w:cs="calibri"/>
          <w:sz w:val="24"/>
          <w:szCs w:val="24"/>
        </w:rPr>
        <w:t xml:space="preserve">. W 2025 r. ocenie poddano </w:t>
      </w:r>
      <w:r>
        <w:rPr>
          <w:rFonts w:ascii="calibri" w:hAnsi="calibri" w:eastAsia="calibri" w:cs="calibri"/>
          <w:sz w:val="24"/>
          <w:szCs w:val="24"/>
          <w:b/>
        </w:rPr>
        <w:t xml:space="preserve">ponad 9200 firm</w:t>
      </w:r>
      <w:r>
        <w:rPr>
          <w:rFonts w:ascii="calibri" w:hAnsi="calibri" w:eastAsia="calibri" w:cs="calibri"/>
          <w:sz w:val="24"/>
          <w:szCs w:val="24"/>
        </w:rPr>
        <w:t xml:space="preserve">, z których </w:t>
      </w:r>
      <w:r>
        <w:rPr>
          <w:rFonts w:ascii="calibri" w:hAnsi="calibri" w:eastAsia="calibri" w:cs="calibri"/>
          <w:sz w:val="24"/>
          <w:szCs w:val="24"/>
          <w:b/>
        </w:rPr>
        <w:t xml:space="preserve">848</w:t>
      </w:r>
      <w:r>
        <w:rPr>
          <w:rFonts w:ascii="calibri" w:hAnsi="calibri" w:eastAsia="calibri" w:cs="calibri"/>
          <w:sz w:val="24"/>
          <w:szCs w:val="24"/>
        </w:rPr>
        <w:t xml:space="preserve"> zakwalifikowało się do zestawienia na rok</w:t>
      </w:r>
      <w:r>
        <w:rPr>
          <w:rFonts w:ascii="calibri" w:hAnsi="calibri" w:eastAsia="calibri" w:cs="calibri"/>
          <w:sz w:val="24"/>
          <w:szCs w:val="24"/>
          <w:b/>
        </w:rPr>
        <w:t xml:space="preserve"> 2026</w:t>
      </w:r>
      <w:r>
        <w:rPr>
          <w:rFonts w:ascii="calibri" w:hAnsi="calibri" w:eastAsia="calibri" w:cs="calibri"/>
          <w:sz w:val="24"/>
          <w:szCs w:val="24"/>
        </w:rPr>
        <w:t xml:space="preserve">. W branży </w:t>
      </w:r>
      <w:r>
        <w:rPr>
          <w:rFonts w:ascii="calibri" w:hAnsi="calibri" w:eastAsia="calibri" w:cs="calibri"/>
          <w:sz w:val="24"/>
          <w:szCs w:val="24"/>
          <w:b/>
        </w:rPr>
        <w:t xml:space="preserve">komunikacyjnej </w:t>
      </w:r>
      <w:r>
        <w:rPr>
          <w:rFonts w:ascii="calibri" w:hAnsi="calibri" w:eastAsia="calibri" w:cs="calibri"/>
          <w:sz w:val="24"/>
          <w:szCs w:val="24"/>
        </w:rPr>
        <w:t xml:space="preserve">wybrano </w:t>
      </w:r>
      <w:r>
        <w:rPr>
          <w:rFonts w:ascii="calibri" w:hAnsi="calibri" w:eastAsia="calibri" w:cs="calibri"/>
          <w:sz w:val="24"/>
          <w:szCs w:val="24"/>
          <w:b/>
        </w:rPr>
        <w:t xml:space="preserve">tylko 5 firm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Dążenie </w:t>
      </w:r>
      <w:r>
        <w:rPr>
          <w:rFonts w:ascii="calibri" w:hAnsi="calibri" w:eastAsia="calibri" w:cs="calibri"/>
          <w:sz w:val="24"/>
          <w:szCs w:val="24"/>
          <w:b/>
        </w:rPr>
        <w:t xml:space="preserve">Grupy Zyxel</w:t>
      </w:r>
      <w:r>
        <w:rPr>
          <w:rFonts w:ascii="calibri" w:hAnsi="calibri" w:eastAsia="calibri" w:cs="calibri"/>
          <w:sz w:val="24"/>
          <w:szCs w:val="24"/>
        </w:rPr>
        <w:t xml:space="preserve"> do doskonałości znajduje odzwierciedlenie </w:t>
      </w:r>
      <w:r>
        <w:rPr>
          <w:rFonts w:ascii="calibri" w:hAnsi="calibri" w:eastAsia="calibri" w:cs="calibri"/>
          <w:sz w:val="24"/>
          <w:szCs w:val="24"/>
          <w:b/>
        </w:rPr>
        <w:t xml:space="preserve">w najwyższych notach przyznawanych przez główne globalne organizacje zajmujące się zrównoważonym rozwojem</w:t>
      </w:r>
      <w:r>
        <w:rPr>
          <w:rFonts w:ascii="calibri" w:hAnsi="calibri" w:eastAsia="calibri" w:cs="calibri"/>
          <w:sz w:val="24"/>
          <w:szCs w:val="24"/>
        </w:rPr>
        <w:t xml:space="preserve">. W 2025 r. firma otrzymała </w:t>
      </w:r>
      <w:r>
        <w:rPr>
          <w:rFonts w:ascii="calibri" w:hAnsi="calibri" w:eastAsia="calibri" w:cs="calibri"/>
          <w:sz w:val="24"/>
          <w:szCs w:val="24"/>
          <w:b/>
        </w:rPr>
        <w:t xml:space="preserve">Platynowy Medal rankingu EcoVadis</w:t>
      </w:r>
      <w:r>
        <w:rPr>
          <w:rFonts w:ascii="calibri" w:hAnsi="calibri" w:eastAsia="calibri" w:cs="calibri"/>
          <w:sz w:val="24"/>
          <w:szCs w:val="24"/>
        </w:rPr>
        <w:t xml:space="preserve">, plasując się w gronie 1% wszystkich ocenianych przedsiębiorstw na świecie. Sukces ten uzupełnia </w:t>
      </w:r>
      <w:r>
        <w:rPr>
          <w:rFonts w:ascii="calibri" w:hAnsi="calibri" w:eastAsia="calibri" w:cs="calibri"/>
          <w:sz w:val="24"/>
          <w:szCs w:val="24"/>
          <w:b/>
        </w:rPr>
        <w:t xml:space="preserve">wysoka ocena „A” przyznana przez MSCI ESG Research (Morgan Stanley Capital International) </w:t>
      </w:r>
      <w:r>
        <w:rPr>
          <w:rFonts w:ascii="calibri" w:hAnsi="calibri" w:eastAsia="calibri" w:cs="calibri"/>
          <w:sz w:val="24"/>
          <w:szCs w:val="24"/>
        </w:rPr>
        <w:t xml:space="preserve">przez dwa kolejne lata. Ponadto </w:t>
      </w:r>
      <w:r>
        <w:rPr>
          <w:rFonts w:ascii="calibri" w:hAnsi="calibri" w:eastAsia="calibri" w:cs="calibri"/>
          <w:sz w:val="24"/>
          <w:szCs w:val="24"/>
          <w:b/>
        </w:rPr>
        <w:t xml:space="preserve">w 2025 r.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firma osiągnęła znaczący kamień milowy w realizacji swojej strategii klimatycznej</w:t>
      </w:r>
      <w:r>
        <w:rPr>
          <w:rFonts w:ascii="calibri" w:hAnsi="calibri" w:eastAsia="calibri" w:cs="calibri"/>
          <w:sz w:val="24"/>
          <w:szCs w:val="24"/>
        </w:rPr>
        <w:t xml:space="preserve">, ponieważ jej </w:t>
      </w:r>
      <w:r>
        <w:rPr>
          <w:rFonts w:ascii="calibri" w:hAnsi="calibri" w:eastAsia="calibri" w:cs="calibri"/>
          <w:sz w:val="24"/>
          <w:szCs w:val="24"/>
          <w:b/>
        </w:rPr>
        <w:t xml:space="preserve">cele w zakresie redukcji emisji dwutlenku węgla</w:t>
      </w:r>
      <w:r>
        <w:rPr>
          <w:rFonts w:ascii="calibri" w:hAnsi="calibri" w:eastAsia="calibri" w:cs="calibri"/>
          <w:sz w:val="24"/>
          <w:szCs w:val="24"/>
        </w:rPr>
        <w:t xml:space="preserve"> zostały </w:t>
      </w:r>
      <w:r>
        <w:rPr>
          <w:rFonts w:ascii="calibri" w:hAnsi="calibri" w:eastAsia="calibri" w:cs="calibri"/>
          <w:sz w:val="24"/>
          <w:szCs w:val="24"/>
          <w:b/>
        </w:rPr>
        <w:t xml:space="preserve">oficjalnie zatwierdzone przez inicjatywę Science Based Targets (SBTi),</w:t>
      </w:r>
      <w:r>
        <w:rPr>
          <w:rFonts w:ascii="calibri" w:hAnsi="calibri" w:eastAsia="calibri" w:cs="calibri"/>
          <w:sz w:val="24"/>
          <w:szCs w:val="24"/>
        </w:rPr>
        <w:t xml:space="preserve"> zgodnie z globalną misją osiągnięcia zerowej emisji netto do 2050 r.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71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froncie krajowym i łańcucha dostaw </w:t>
      </w:r>
      <w:r>
        <w:rPr>
          <w:rFonts w:ascii="calibri" w:hAnsi="calibri" w:eastAsia="calibri" w:cs="calibri"/>
          <w:sz w:val="24"/>
          <w:szCs w:val="24"/>
          <w:b/>
        </w:rPr>
        <w:t xml:space="preserve">Zyxel Group nadal wyznacza standardy branżowe</w:t>
      </w:r>
      <w:r>
        <w:rPr>
          <w:rFonts w:ascii="calibri" w:hAnsi="calibri" w:eastAsia="calibri" w:cs="calibri"/>
          <w:sz w:val="24"/>
          <w:szCs w:val="24"/>
        </w:rPr>
        <w:t xml:space="preserve">. Firma została uhonorowana przez </w:t>
      </w:r>
      <w:r>
        <w:rPr>
          <w:rFonts w:ascii="calibri" w:hAnsi="calibri" w:eastAsia="calibri" w:cs="calibri"/>
          <w:sz w:val="24"/>
          <w:szCs w:val="24"/>
          <w:b/>
        </w:rPr>
        <w:t xml:space="preserve">Taiwan Corporate Sustainability Awards</w:t>
      </w:r>
      <w:r>
        <w:rPr>
          <w:rFonts w:ascii="calibri" w:hAnsi="calibri" w:eastAsia="calibri" w:cs="calibri"/>
          <w:sz w:val="24"/>
          <w:szCs w:val="24"/>
        </w:rPr>
        <w:t xml:space="preserve"> (TCSA) nagrodą</w:t>
      </w:r>
      <w:r>
        <w:rPr>
          <w:rFonts w:ascii="calibri" w:hAnsi="calibri" w:eastAsia="calibri" w:cs="calibri"/>
          <w:sz w:val="24"/>
          <w:szCs w:val="24"/>
          <w:b/>
        </w:rPr>
        <w:t xml:space="preserve"> Taiwan Sustainable Exemplary Enterprise Award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Sustainability Reporting Gold Award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Information Security Leadership Award</w:t>
      </w:r>
      <w:r>
        <w:rPr>
          <w:rFonts w:ascii="calibri" w:hAnsi="calibri" w:eastAsia="calibri" w:cs="calibri"/>
          <w:sz w:val="24"/>
          <w:szCs w:val="24"/>
        </w:rPr>
        <w:t xml:space="preserve">. Przez 4 lata z rzędu była również uznawana przez </w:t>
      </w:r>
      <w:r>
        <w:rPr>
          <w:rFonts w:ascii="calibri" w:hAnsi="calibri" w:eastAsia="calibri" w:cs="calibri"/>
          <w:sz w:val="24"/>
          <w:szCs w:val="24"/>
          <w:b/>
        </w:rPr>
        <w:t xml:space="preserve">Business Weekly za jedno ze 100 najbardziej konkurencyjnych przedsiębiorstw</w:t>
      </w:r>
      <w:r>
        <w:rPr>
          <w:rFonts w:ascii="calibri" w:hAnsi="calibri" w:eastAsia="calibri" w:cs="calibri"/>
          <w:sz w:val="24"/>
          <w:szCs w:val="24"/>
        </w:rPr>
        <w:t xml:space="preserve"> pod względem </w:t>
      </w:r>
      <w:r>
        <w:rPr>
          <w:rFonts w:ascii="calibri" w:hAnsi="calibri" w:eastAsia="calibri" w:cs="calibri"/>
          <w:sz w:val="24"/>
          <w:szCs w:val="24"/>
          <w:b/>
        </w:rPr>
        <w:t xml:space="preserve">niskoemisyjności dwutlenku węgla</w:t>
      </w:r>
      <w:r>
        <w:rPr>
          <w:rFonts w:ascii="calibri" w:hAnsi="calibri" w:eastAsia="calibri" w:cs="calibri"/>
          <w:sz w:val="24"/>
          <w:szCs w:val="24"/>
        </w:rPr>
        <w:t xml:space="preserve">. Doskonałość </w:t>
      </w:r>
      <w:r>
        <w:rPr>
          <w:rFonts w:ascii="calibri" w:hAnsi="calibri" w:eastAsia="calibri" w:cs="calibri"/>
          <w:sz w:val="24"/>
          <w:szCs w:val="24"/>
          <w:b/>
        </w:rPr>
        <w:t xml:space="preserve">Grupy Zyxel</w:t>
      </w:r>
      <w:r>
        <w:rPr>
          <w:rFonts w:ascii="calibri" w:hAnsi="calibri" w:eastAsia="calibri" w:cs="calibri"/>
          <w:sz w:val="24"/>
          <w:szCs w:val="24"/>
        </w:rPr>
        <w:t xml:space="preserve"> w zakresie </w:t>
      </w:r>
      <w:r>
        <w:rPr>
          <w:rFonts w:ascii="calibri" w:hAnsi="calibri" w:eastAsia="calibri" w:cs="calibri"/>
          <w:sz w:val="24"/>
          <w:szCs w:val="24"/>
          <w:b/>
        </w:rPr>
        <w:t xml:space="preserve">zarządzania łańcuchem dostaw</w:t>
      </w:r>
      <w:r>
        <w:rPr>
          <w:rFonts w:ascii="calibri" w:hAnsi="calibri" w:eastAsia="calibri" w:cs="calibri"/>
          <w:sz w:val="24"/>
          <w:szCs w:val="24"/>
        </w:rPr>
        <w:t xml:space="preserve"> została podkreślona nagrodą </w:t>
      </w:r>
      <w:r>
        <w:rPr>
          <w:rFonts w:ascii="calibri" w:hAnsi="calibri" w:eastAsia="calibri" w:cs="calibri"/>
          <w:sz w:val="24"/>
          <w:szCs w:val="24"/>
          <w:b/>
        </w:rPr>
        <w:t xml:space="preserve">Best Practice Award in Supplier Risk Governance</w:t>
      </w:r>
      <w:r>
        <w:rPr>
          <w:rFonts w:ascii="calibri" w:hAnsi="calibri" w:eastAsia="calibri" w:cs="calibri"/>
          <w:sz w:val="24"/>
          <w:szCs w:val="24"/>
        </w:rPr>
        <w:t xml:space="preserve">, przyznaną przez </w:t>
      </w:r>
      <w:r>
        <w:rPr>
          <w:rFonts w:ascii="calibri" w:hAnsi="calibri" w:eastAsia="calibri" w:cs="calibri"/>
          <w:sz w:val="24"/>
          <w:szCs w:val="24"/>
          <w:b/>
        </w:rPr>
        <w:t xml:space="preserve">Joint Alliance for Corporate Social Responsibility (JAC)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przyszłości </w:t>
      </w:r>
      <w:r>
        <w:rPr>
          <w:rFonts w:ascii="calibri" w:hAnsi="calibri" w:eastAsia="calibri" w:cs="calibri"/>
          <w:sz w:val="24"/>
          <w:szCs w:val="24"/>
          <w:b/>
        </w:rPr>
        <w:t xml:space="preserve">Grupa Zyxel</w:t>
      </w:r>
      <w:r>
        <w:rPr>
          <w:rFonts w:ascii="calibri" w:hAnsi="calibri" w:eastAsia="calibri" w:cs="calibri"/>
          <w:sz w:val="24"/>
          <w:szCs w:val="24"/>
        </w:rPr>
        <w:t xml:space="preserve"> zamierza nadal </w:t>
      </w:r>
      <w:r>
        <w:rPr>
          <w:rFonts w:ascii="calibri" w:hAnsi="calibri" w:eastAsia="calibri" w:cs="calibri"/>
          <w:sz w:val="24"/>
          <w:szCs w:val="24"/>
          <w:b/>
        </w:rPr>
        <w:t xml:space="preserve">łączyć innowacje ze swoją wizją zrównoważonego rozwoju</w:t>
      </w:r>
      <w:r>
        <w:rPr>
          <w:rFonts w:ascii="calibri" w:hAnsi="calibri" w:eastAsia="calibri" w:cs="calibri"/>
          <w:sz w:val="24"/>
          <w:szCs w:val="24"/>
        </w:rPr>
        <w:t xml:space="preserve">, wzmacniając swoją konkurencyjność i dążąc do osiągnięcia zerowej emisji netto wspólnie ze swoimi globalnymi partnerami.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pglobal.com/sustainable1/en/csa/yearbook/2026/ranking#q=&amp;amp;amp;rows=10&amp;amp;amp;pagenum=1&amp;amp;amp;facets={%22es_industry_nicer_name_s%22:[%22Communications%20Equipment%22]}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2026-09-25T13:37:12+02:00</dcterms:created>
  <dcterms:modified xsi:type="dcterms:W3CDTF">2026-09-25T13:37:12+02:00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