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Group w ścisłej światowej czołówce rankingu S&amp;P Sustainability Yearbook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Zyxel znalazła się w rankingu S&amp;P Global Sustainability Yearbook 2026, plasując się w gronie 1% najlepszych firm w branży sprzętu komunikacyjnego.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poinformował, że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znalazła się w rankingu </w:t>
      </w:r>
      <w:r>
        <w:rPr>
          <w:rFonts w:ascii="calibri" w:hAnsi="calibri" w:eastAsia="calibri" w:cs="calibri"/>
          <w:sz w:val="24"/>
          <w:szCs w:val="24"/>
          <w:b/>
        </w:rPr>
        <w:t xml:space="preserve">S&amp;P Global Sustainability Yearbook 2026</w:t>
      </w:r>
      <w:r>
        <w:rPr>
          <w:rFonts w:ascii="calibri" w:hAnsi="calibri" w:eastAsia="calibri" w:cs="calibri"/>
          <w:sz w:val="24"/>
          <w:szCs w:val="24"/>
        </w:rPr>
        <w:t xml:space="preserve">, plasując się w gronie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1% najlepszych firm w branży sprzętu komunikacyjnego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Wyróżnienie to podkreśla wiodącą rolę firmy w zakresie globalnych standardów ESG oraz jej zaangażowanie w przejrzyste i zrównoważone zarządzanie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S&amp;P Global Sustainability Yearbook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czołowy przewodnik po standardach ESG</w:t>
      </w:r>
      <w:r>
        <w:rPr>
          <w:rFonts w:ascii="calibri" w:hAnsi="calibri" w:eastAsia="calibri" w:cs="calibri"/>
          <w:sz w:val="24"/>
          <w:szCs w:val="24"/>
        </w:rPr>
        <w:t xml:space="preserve">, opracowany na podstawie indeksów </w:t>
      </w:r>
      <w:r>
        <w:rPr>
          <w:rFonts w:ascii="calibri" w:hAnsi="calibri" w:eastAsia="calibri" w:cs="calibri"/>
          <w:sz w:val="24"/>
          <w:szCs w:val="24"/>
          <w:b/>
        </w:rPr>
        <w:t xml:space="preserve">Dow Jones Sustainability Indices (DJSI)</w:t>
      </w:r>
      <w:r>
        <w:rPr>
          <w:rFonts w:ascii="calibri" w:hAnsi="calibri" w:eastAsia="calibri" w:cs="calibri"/>
          <w:sz w:val="24"/>
          <w:szCs w:val="24"/>
        </w:rPr>
        <w:t xml:space="preserve">. W 2025 r. ocenie poddano </w:t>
      </w:r>
      <w:r>
        <w:rPr>
          <w:rFonts w:ascii="calibri" w:hAnsi="calibri" w:eastAsia="calibri" w:cs="calibri"/>
          <w:sz w:val="24"/>
          <w:szCs w:val="24"/>
          <w:b/>
        </w:rPr>
        <w:t xml:space="preserve">ponad 9200 firm</w:t>
      </w:r>
      <w:r>
        <w:rPr>
          <w:rFonts w:ascii="calibri" w:hAnsi="calibri" w:eastAsia="calibri" w:cs="calibri"/>
          <w:sz w:val="24"/>
          <w:szCs w:val="24"/>
        </w:rPr>
        <w:t xml:space="preserve">, z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848</w:t>
      </w:r>
      <w:r>
        <w:rPr>
          <w:rFonts w:ascii="calibri" w:hAnsi="calibri" w:eastAsia="calibri" w:cs="calibri"/>
          <w:sz w:val="24"/>
          <w:szCs w:val="24"/>
        </w:rPr>
        <w:t xml:space="preserve"> zakwalifikowało się do zestawienia na rok</w:t>
      </w:r>
      <w:r>
        <w:rPr>
          <w:rFonts w:ascii="calibri" w:hAnsi="calibri" w:eastAsia="calibri" w:cs="calibri"/>
          <w:sz w:val="24"/>
          <w:szCs w:val="24"/>
          <w:b/>
        </w:rPr>
        <w:t xml:space="preserve"> 2026</w:t>
      </w:r>
      <w:r>
        <w:rPr>
          <w:rFonts w:ascii="calibri" w:hAnsi="calibri" w:eastAsia="calibri" w:cs="calibri"/>
          <w:sz w:val="24"/>
          <w:szCs w:val="24"/>
        </w:rPr>
        <w:t xml:space="preserve">. W branży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komunikacyjnej </w:t>
      </w:r>
      <w:r>
        <w:rPr>
          <w:rFonts w:ascii="calibri" w:hAnsi="calibri" w:eastAsia="calibri" w:cs="calibri"/>
          <w:sz w:val="24"/>
          <w:szCs w:val="24"/>
        </w:rPr>
        <w:t xml:space="preserve">wybrano </w:t>
      </w:r>
      <w:r>
        <w:rPr>
          <w:rFonts w:ascii="calibri" w:hAnsi="calibri" w:eastAsia="calibri" w:cs="calibri"/>
          <w:sz w:val="24"/>
          <w:szCs w:val="24"/>
          <w:b/>
        </w:rPr>
        <w:t xml:space="preserve">tylko 5 firm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Dążenie </w:t>
      </w:r>
      <w:r>
        <w:rPr>
          <w:rFonts w:ascii="calibri" w:hAnsi="calibri" w:eastAsia="calibri" w:cs="calibri"/>
          <w:sz w:val="24"/>
          <w:szCs w:val="24"/>
          <w:b/>
        </w:rPr>
        <w:t xml:space="preserve">Grupy Zyxel</w:t>
      </w:r>
      <w:r>
        <w:rPr>
          <w:rFonts w:ascii="calibri" w:hAnsi="calibri" w:eastAsia="calibri" w:cs="calibri"/>
          <w:sz w:val="24"/>
          <w:szCs w:val="24"/>
        </w:rPr>
        <w:t xml:space="preserve"> do doskonałości znajduje odzwierciedlenie </w:t>
      </w:r>
      <w:r>
        <w:rPr>
          <w:rFonts w:ascii="calibri" w:hAnsi="calibri" w:eastAsia="calibri" w:cs="calibri"/>
          <w:sz w:val="24"/>
          <w:szCs w:val="24"/>
          <w:b/>
        </w:rPr>
        <w:t xml:space="preserve">w najwyższych notach przyznawanych przez główne globalne organizacje zajmujące się zrównoważonym rozwojem</w:t>
      </w:r>
      <w:r>
        <w:rPr>
          <w:rFonts w:ascii="calibri" w:hAnsi="calibri" w:eastAsia="calibri" w:cs="calibri"/>
          <w:sz w:val="24"/>
          <w:szCs w:val="24"/>
        </w:rPr>
        <w:t xml:space="preserve">. W 2025 r. firma otrzymała </w:t>
      </w:r>
      <w:r>
        <w:rPr>
          <w:rFonts w:ascii="calibri" w:hAnsi="calibri" w:eastAsia="calibri" w:cs="calibri"/>
          <w:sz w:val="24"/>
          <w:szCs w:val="24"/>
          <w:b/>
        </w:rPr>
        <w:t xml:space="preserve">Platynowy Medal rankingu EcoVadis</w:t>
      </w:r>
      <w:r>
        <w:rPr>
          <w:rFonts w:ascii="calibri" w:hAnsi="calibri" w:eastAsia="calibri" w:cs="calibri"/>
          <w:sz w:val="24"/>
          <w:szCs w:val="24"/>
        </w:rPr>
        <w:t xml:space="preserve">, plasując się w gronie 1% wszystkich ocenianych przedsiębiorstw na świecie. Sukces ten uzupełnia </w:t>
      </w:r>
      <w:r>
        <w:rPr>
          <w:rFonts w:ascii="calibri" w:hAnsi="calibri" w:eastAsia="calibri" w:cs="calibri"/>
          <w:sz w:val="24"/>
          <w:szCs w:val="24"/>
          <w:b/>
        </w:rPr>
        <w:t xml:space="preserve">wysoka ocena „A” przyznana przez MSCI ESG Research (Morgan Stanley Capital International) </w:t>
      </w:r>
      <w:r>
        <w:rPr>
          <w:rFonts w:ascii="calibri" w:hAnsi="calibri" w:eastAsia="calibri" w:cs="calibri"/>
          <w:sz w:val="24"/>
          <w:szCs w:val="24"/>
        </w:rPr>
        <w:t xml:space="preserve">przez dwa kolejne lata.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w 2025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firma osiągnęła znaczący kamień milowy w realizacji swojej strategii klimatycznej</w:t>
      </w:r>
      <w:r>
        <w:rPr>
          <w:rFonts w:ascii="calibri" w:hAnsi="calibri" w:eastAsia="calibri" w:cs="calibri"/>
          <w:sz w:val="24"/>
          <w:szCs w:val="24"/>
        </w:rPr>
        <w:t xml:space="preserve">, ponieważ jej </w:t>
      </w:r>
      <w:r>
        <w:rPr>
          <w:rFonts w:ascii="calibri" w:hAnsi="calibri" w:eastAsia="calibri" w:cs="calibri"/>
          <w:sz w:val="24"/>
          <w:szCs w:val="24"/>
          <w:b/>
        </w:rPr>
        <w:t xml:space="preserve">cele w zakresie redukcji emisji dwutlenku węgla</w:t>
      </w:r>
      <w:r>
        <w:rPr>
          <w:rFonts w:ascii="calibri" w:hAnsi="calibri" w:eastAsia="calibri" w:cs="calibri"/>
          <w:sz w:val="24"/>
          <w:szCs w:val="24"/>
        </w:rPr>
        <w:t xml:space="preserve">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oficjalnie zatwierdzone przez inicjatywę Science Based Targets (SBTi),</w:t>
      </w:r>
      <w:r>
        <w:rPr>
          <w:rFonts w:ascii="calibri" w:hAnsi="calibri" w:eastAsia="calibri" w:cs="calibri"/>
          <w:sz w:val="24"/>
          <w:szCs w:val="24"/>
        </w:rPr>
        <w:t xml:space="preserve"> zgodnie z globalną misją osiągnięcia zerowej emisji netto do 2050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froncie krajowym i łańcucha dostaw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nadal wyznacza standardy branżowe</w:t>
      </w:r>
      <w:r>
        <w:rPr>
          <w:rFonts w:ascii="calibri" w:hAnsi="calibri" w:eastAsia="calibri" w:cs="calibri"/>
          <w:sz w:val="24"/>
          <w:szCs w:val="24"/>
        </w:rPr>
        <w:t xml:space="preserve">. Firma została uhonorowana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Taiwan Corporate Sustainability Awards</w:t>
      </w:r>
      <w:r>
        <w:rPr>
          <w:rFonts w:ascii="calibri" w:hAnsi="calibri" w:eastAsia="calibri" w:cs="calibri"/>
          <w:sz w:val="24"/>
          <w:szCs w:val="24"/>
        </w:rPr>
        <w:t xml:space="preserve"> (TCSA) nagrodą</w:t>
      </w:r>
      <w:r>
        <w:rPr>
          <w:rFonts w:ascii="calibri" w:hAnsi="calibri" w:eastAsia="calibri" w:cs="calibri"/>
          <w:sz w:val="24"/>
          <w:szCs w:val="24"/>
          <w:b/>
        </w:rPr>
        <w:t xml:space="preserve"> Taiwan Sustainable Exemplary Enterprise Award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Sustainability Reporting Gold Award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Information Security Leadership Award</w:t>
      </w:r>
      <w:r>
        <w:rPr>
          <w:rFonts w:ascii="calibri" w:hAnsi="calibri" w:eastAsia="calibri" w:cs="calibri"/>
          <w:sz w:val="24"/>
          <w:szCs w:val="24"/>
        </w:rPr>
        <w:t xml:space="preserve">. Przez 4 lata z rzędu była również uznawana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Weekly za jedno ze 100 najbardziej konkurencyjnych przedsiębiorstw</w:t>
      </w:r>
      <w:r>
        <w:rPr>
          <w:rFonts w:ascii="calibri" w:hAnsi="calibri" w:eastAsia="calibri" w:cs="calibri"/>
          <w:sz w:val="24"/>
          <w:szCs w:val="24"/>
        </w:rPr>
        <w:t xml:space="preserve">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niskoemisyjności dwutlenku węgla</w:t>
      </w:r>
      <w:r>
        <w:rPr>
          <w:rFonts w:ascii="calibri" w:hAnsi="calibri" w:eastAsia="calibri" w:cs="calibri"/>
          <w:sz w:val="24"/>
          <w:szCs w:val="24"/>
        </w:rPr>
        <w:t xml:space="preserve">. Doskonałość </w:t>
      </w:r>
      <w:r>
        <w:rPr>
          <w:rFonts w:ascii="calibri" w:hAnsi="calibri" w:eastAsia="calibri" w:cs="calibri"/>
          <w:sz w:val="24"/>
          <w:szCs w:val="24"/>
          <w:b/>
        </w:rPr>
        <w:t xml:space="preserve">Grupy Zyxel</w:t>
      </w:r>
      <w:r>
        <w:rPr>
          <w:rFonts w:ascii="calibri" w:hAnsi="calibri" w:eastAsia="calibri" w:cs="calibri"/>
          <w:sz w:val="24"/>
          <w:szCs w:val="24"/>
        </w:rPr>
        <w:t xml:space="preserve">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łańcuchem dostaw</w:t>
      </w:r>
      <w:r>
        <w:rPr>
          <w:rFonts w:ascii="calibri" w:hAnsi="calibri" w:eastAsia="calibri" w:cs="calibri"/>
          <w:sz w:val="24"/>
          <w:szCs w:val="24"/>
        </w:rPr>
        <w:t xml:space="preserve"> została podkreślona nagrodą </w:t>
      </w:r>
      <w:r>
        <w:rPr>
          <w:rFonts w:ascii="calibri" w:hAnsi="calibri" w:eastAsia="calibri" w:cs="calibri"/>
          <w:sz w:val="24"/>
          <w:szCs w:val="24"/>
          <w:b/>
        </w:rPr>
        <w:t xml:space="preserve">Best Practice Award in Supplier Risk Governance</w:t>
      </w:r>
      <w:r>
        <w:rPr>
          <w:rFonts w:ascii="calibri" w:hAnsi="calibri" w:eastAsia="calibri" w:cs="calibri"/>
          <w:sz w:val="24"/>
          <w:szCs w:val="24"/>
        </w:rPr>
        <w:t xml:space="preserve">, przyznaną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Joint Alliance for Corporate Social Responsibility (JAC)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</w:t>
      </w:r>
      <w:r>
        <w:rPr>
          <w:rFonts w:ascii="calibri" w:hAnsi="calibri" w:eastAsia="calibri" w:cs="calibri"/>
          <w:sz w:val="24"/>
          <w:szCs w:val="24"/>
          <w:b/>
        </w:rPr>
        <w:t xml:space="preserve">Grupa Zyxel</w:t>
      </w:r>
      <w:r>
        <w:rPr>
          <w:rFonts w:ascii="calibri" w:hAnsi="calibri" w:eastAsia="calibri" w:cs="calibri"/>
          <w:sz w:val="24"/>
          <w:szCs w:val="24"/>
        </w:rPr>
        <w:t xml:space="preserve"> zamierza nadal </w:t>
      </w:r>
      <w:r>
        <w:rPr>
          <w:rFonts w:ascii="calibri" w:hAnsi="calibri" w:eastAsia="calibri" w:cs="calibri"/>
          <w:sz w:val="24"/>
          <w:szCs w:val="24"/>
          <w:b/>
        </w:rPr>
        <w:t xml:space="preserve">łączyć innowacje ze swoją wizją zrównoważonego rozwoju</w:t>
      </w:r>
      <w:r>
        <w:rPr>
          <w:rFonts w:ascii="calibri" w:hAnsi="calibri" w:eastAsia="calibri" w:cs="calibri"/>
          <w:sz w:val="24"/>
          <w:szCs w:val="24"/>
        </w:rPr>
        <w:t xml:space="preserve">, wzmacniając swoją konkurencyjność i dążąc do osiągnięcia zerowej emisji netto wspólnie ze swoimi globalnymi partnerami.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global.com/sustainable1/en/csa/yearbook/2026/ranking#q=&amp;amp;amp;rows=10&amp;amp;amp;pagenum=1&amp;amp;amp;facets={%22es_industry_nicer_name_s%22:[%22Communications%20Equipment%22]}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2026-03-16T14:27:03+01:00</dcterms:created>
  <dcterms:modified xsi:type="dcterms:W3CDTF">2026-03-16T14:27:03+01:00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