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udoskonala system zarządzania bezpieczeństwem produktów, aby chronić SMB i MSP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liczby cyberzagrożeń opartych na sztucznej inteligencji oraz zaostrzających się przepisów dotyczących cyberbezpieczeństwa podejście „secure by design” nie jest już opcjonalne.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dzisiaj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ulepszonych ram zarządzania bezpieczeństwem produktów</w:t>
      </w:r>
      <w:r>
        <w:rPr>
          <w:rFonts w:ascii="calibri" w:hAnsi="calibri" w:eastAsia="calibri" w:cs="calibri"/>
          <w:sz w:val="24"/>
          <w:szCs w:val="24"/>
        </w:rPr>
        <w:t xml:space="preserve">. Umacnia tym samym swoje długoterminowe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pomaganie</w:t>
      </w:r>
      <w:r>
        <w:rPr>
          <w:rFonts w:ascii="calibri" w:hAnsi="calibri" w:eastAsia="calibri" w:cs="calibri"/>
          <w:sz w:val="24"/>
          <w:szCs w:val="24"/>
        </w:rPr>
        <w:t xml:space="preserve"> małym i średnim przedsiębiorstwom (</w:t>
      </w:r>
      <w:r>
        <w:rPr>
          <w:rFonts w:ascii="calibri" w:hAnsi="calibri" w:eastAsia="calibri" w:cs="calibri"/>
          <w:sz w:val="24"/>
          <w:szCs w:val="24"/>
          <w:b/>
        </w:rPr>
        <w:t xml:space="preserve">SMB</w:t>
      </w:r>
      <w:r>
        <w:rPr>
          <w:rFonts w:ascii="calibri" w:hAnsi="calibri" w:eastAsia="calibri" w:cs="calibri"/>
          <w:sz w:val="24"/>
          <w:szCs w:val="24"/>
        </w:rPr>
        <w:t xml:space="preserve">) oraz dostawcom usług zarządzanych (</w:t>
      </w:r>
      <w:r>
        <w:rPr>
          <w:rFonts w:ascii="calibri" w:hAnsi="calibri" w:eastAsia="calibri" w:cs="calibri"/>
          <w:sz w:val="24"/>
          <w:szCs w:val="24"/>
          <w:b/>
        </w:rPr>
        <w:t xml:space="preserve">MSP</w:t>
      </w:r>
      <w:r>
        <w:rPr>
          <w:rFonts w:ascii="calibri" w:hAnsi="calibri" w:eastAsia="calibri" w:cs="calibri"/>
          <w:sz w:val="24"/>
          <w:szCs w:val="24"/>
        </w:rPr>
        <w:t xml:space="preserve">) </w:t>
      </w:r>
      <w:r>
        <w:rPr>
          <w:rFonts w:ascii="calibri" w:hAnsi="calibri" w:eastAsia="calibri" w:cs="calibri"/>
          <w:sz w:val="24"/>
          <w:szCs w:val="24"/>
          <w:b/>
        </w:rPr>
        <w:t xml:space="preserve">w poruszaniu się po coraz bardziej złożonym środowisku cyberbezpieczeństwa i zgodności z przepisami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Unijny akt o cyberodporności (CRA)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zacznie wchodzić w życie we </w:t>
      </w:r>
      <w:r>
        <w:rPr>
          <w:rFonts w:ascii="calibri" w:hAnsi="calibri" w:eastAsia="calibri" w:cs="calibri"/>
          <w:sz w:val="24"/>
          <w:szCs w:val="24"/>
          <w:b/>
        </w:rPr>
        <w:t xml:space="preserve">wrześniu 2026 r.</w:t>
      </w:r>
      <w:r>
        <w:rPr>
          <w:rFonts w:ascii="calibri" w:hAnsi="calibri" w:eastAsia="calibri" w:cs="calibri"/>
          <w:sz w:val="24"/>
          <w:szCs w:val="24"/>
        </w:rPr>
        <w:t xml:space="preserve">, na nowo definiuje odpowiedzialność za produkty,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 przejrzystego i weryfikowalnego zarządzania bezpieczeństwem w całym cyklu życia produktu</w:t>
      </w:r>
      <w:r>
        <w:rPr>
          <w:rFonts w:ascii="calibri" w:hAnsi="calibri" w:eastAsia="calibri" w:cs="calibri"/>
          <w:sz w:val="24"/>
          <w:szCs w:val="24"/>
        </w:rPr>
        <w:t xml:space="preserve">. Ta zmiana regulacyjna następuje w momencie, gdy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przeprowadzone przez firmę Mandiant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wskazują luki w oprogramowaniu jako główny wektor początkowego ataku</w:t>
      </w:r>
      <w:r>
        <w:rPr>
          <w:rFonts w:ascii="calibri" w:hAnsi="calibri" w:eastAsia="calibri" w:cs="calibri"/>
          <w:sz w:val="24"/>
          <w:szCs w:val="24"/>
        </w:rPr>
        <w:t xml:space="preserve">. Zwracają jednocześnie uwagę, że cyberprzestępcy wykorzystują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inteligencję do przyspieszenia tych działań</w:t>
      </w:r>
      <w:r>
        <w:rPr>
          <w:rFonts w:ascii="calibri" w:hAnsi="calibri" w:eastAsia="calibri" w:cs="calibri"/>
          <w:sz w:val="24"/>
          <w:szCs w:val="24"/>
        </w:rPr>
        <w:t xml:space="preserve">. Dla SMB oraz MSP z ograniczonymi zasobami </w:t>
      </w:r>
      <w:r>
        <w:rPr>
          <w:rFonts w:ascii="calibri" w:hAnsi="calibri" w:eastAsia="calibri" w:cs="calibri"/>
          <w:sz w:val="24"/>
          <w:szCs w:val="24"/>
          <w:b/>
        </w:rPr>
        <w:t xml:space="preserve">wybór zaufanych dostawców</w:t>
      </w:r>
      <w:r>
        <w:rPr>
          <w:rFonts w:ascii="calibri" w:hAnsi="calibri" w:eastAsia="calibri" w:cs="calibri"/>
          <w:sz w:val="24"/>
          <w:szCs w:val="24"/>
        </w:rPr>
        <w:t xml:space="preserve"> ze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sprawdzonymi strukturami</w:t>
      </w:r>
      <w:r>
        <w:rPr>
          <w:rFonts w:ascii="calibri" w:hAnsi="calibri" w:eastAsia="calibri" w:cs="calibri"/>
          <w:sz w:val="24"/>
          <w:szCs w:val="24"/>
        </w:rPr>
        <w:t xml:space="preserve"> zarządzania bezpieczeństwem stał się </w:t>
      </w:r>
      <w:r>
        <w:rPr>
          <w:rFonts w:ascii="calibri" w:hAnsi="calibri" w:eastAsia="calibri" w:cs="calibri"/>
          <w:sz w:val="24"/>
          <w:szCs w:val="24"/>
          <w:b/>
        </w:rPr>
        <w:t xml:space="preserve">ważniejszy niż kiedykolwiek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</w:t>
      </w:r>
      <w:r>
        <w:rPr>
          <w:rFonts w:ascii="calibri" w:hAnsi="calibri" w:eastAsia="calibri" w:cs="calibri"/>
          <w:sz w:val="24"/>
          <w:szCs w:val="24"/>
          <w:b/>
        </w:rPr>
        <w:t xml:space="preserve">ostatnimi ulepszeniami</w:t>
      </w:r>
      <w:r>
        <w:rPr>
          <w:rFonts w:ascii="calibri" w:hAnsi="calibri" w:eastAsia="calibri" w:cs="calibri"/>
          <w:sz w:val="24"/>
          <w:szCs w:val="24"/>
        </w:rPr>
        <w:t xml:space="preserve"> w całym swoim portfolio,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konsoliduje</w:t>
      </w:r>
      <w:r>
        <w:rPr>
          <w:rFonts w:ascii="calibri" w:hAnsi="calibri" w:eastAsia="calibri" w:cs="calibri"/>
          <w:sz w:val="24"/>
          <w:szCs w:val="24"/>
        </w:rPr>
        <w:t xml:space="preserve"> swoje kompetencje </w:t>
      </w:r>
      <w:r>
        <w:rPr>
          <w:rFonts w:ascii="calibri" w:hAnsi="calibri" w:eastAsia="calibri" w:cs="calibri"/>
          <w:sz w:val="24"/>
          <w:szCs w:val="24"/>
          <w:b/>
        </w:rPr>
        <w:t xml:space="preserve">w zakresie bezpieczeństwa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ujednolicone podejście do zarządzania bezpieczeństwem produktów</w:t>
      </w:r>
      <w:r>
        <w:rPr>
          <w:rFonts w:ascii="calibri" w:hAnsi="calibri" w:eastAsia="calibri" w:cs="calibri"/>
          <w:sz w:val="24"/>
          <w:szCs w:val="24"/>
        </w:rPr>
        <w:t xml:space="preserve">.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wbudowaną ochronę dla klientów z sektora SMB oraz partnerów MSP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5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dzisiejszych czasach cyberbezpieczeństwo nie może już opierać się wyłącznie na obietnicach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Edward Yu</w:t>
      </w:r>
      <w:r>
        <w:rPr>
          <w:rFonts w:ascii="calibri" w:hAnsi="calibri" w:eastAsia="calibri" w:cs="calibri"/>
          <w:sz w:val="24"/>
          <w:szCs w:val="24"/>
        </w:rPr>
        <w:t xml:space="preserve">, dyrektor ds. bezpieczeństwa informacji w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miarę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nasilania się cyberzagrożeń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wzrostu wymagań dotyczących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odpowiedzialności za produkty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wprowadzają globalne regulacji (np. unijny akt o cyberodporności (CRA),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zaufanie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trzeba budować poprzez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weryfikowalne, codzienne zarządzanie bezpieczeństwem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Przejrzystość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całym cyklu życia produktu pomaga organizacjom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usuwać luki w ochronie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podejmować bardziej świadome decyzje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wzmocnić ogólną cyberodporność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z sektora SMB oraz MSP są pod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rosnącą presją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Muszą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wzmacniać cyberodporność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jednocześnie zarządzać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coraz bardziej złożonymi środowiskami IT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Wbudowanie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gotowych funkcji bezpieczeństwa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całą infrastrukturę sieciową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eliminuje potrzebę kosztownego i czasochłonnego ręcznego uszczelniania systemów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późniejszym etapie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naszym partnerom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szybsze wdrożenia, upraszcza audyty zgodności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tworzy odporną bazę sieciową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buduje zaufanie klientów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fazie projektowania jako standard 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traktować cyberbezpieczeństwo jako kwestię drugorzędną,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wdraża zasadę </w:t>
      </w:r>
      <w:r>
        <w:rPr>
          <w:rFonts w:ascii="calibri" w:hAnsi="calibri" w:eastAsia="calibri" w:cs="calibri"/>
          <w:sz w:val="24"/>
          <w:szCs w:val="24"/>
          <w:b/>
        </w:rPr>
        <w:t xml:space="preserve">„Secure by Design”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każdym etapie rozwoju produktó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– od eliminowania luk w zabezpieczeniach po nadzór nad cyklem życia produktów. Służą temu </w:t>
      </w:r>
      <w:r>
        <w:rPr>
          <w:rFonts w:ascii="calibri" w:hAnsi="calibri" w:eastAsia="calibri" w:cs="calibri"/>
          <w:sz w:val="24"/>
          <w:szCs w:val="24"/>
          <w:b/>
        </w:rPr>
        <w:t xml:space="preserve">trzy podstawowe zobowiązania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„Secure by Design” standardem dla produktów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firma na Tajwanie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globalny dostawca rozwiązań sieciowych dla sektora SMB</w:t>
      </w:r>
      <w:r>
        <w:rPr>
          <w:rFonts w:ascii="calibri" w:hAnsi="calibri" w:eastAsia="calibri" w:cs="calibri"/>
          <w:sz w:val="24"/>
          <w:szCs w:val="24"/>
        </w:rPr>
        <w:t xml:space="preserve">, który podpisał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zobowiązanie CISA „Secure by Design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nieustannie wprowadza </w:t>
      </w:r>
      <w:r>
        <w:rPr>
          <w:rFonts w:ascii="calibri" w:hAnsi="calibri" w:eastAsia="calibri" w:cs="calibri"/>
          <w:sz w:val="24"/>
          <w:szCs w:val="24"/>
          <w:b/>
        </w:rPr>
        <w:t xml:space="preserve">inicjatywy bezpieczeństwa</w:t>
      </w:r>
      <w:r>
        <w:rPr>
          <w:rFonts w:ascii="calibri" w:hAnsi="calibri" w:eastAsia="calibri" w:cs="calibri"/>
          <w:sz w:val="24"/>
          <w:szCs w:val="24"/>
        </w:rPr>
        <w:t xml:space="preserve"> dla małych i średnich przedsiębiorstw,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zmniejszają ryzyko operacyjne i upraszczają bezpieczne wdrożenia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obsługę logowania bez hasła</w:t>
      </w:r>
      <w:r>
        <w:rPr>
          <w:rFonts w:ascii="calibri" w:hAnsi="calibri" w:eastAsia="calibri" w:cs="calibri"/>
          <w:sz w:val="24"/>
          <w:szCs w:val="24"/>
        </w:rPr>
        <w:t xml:space="preserve"> do kont Zyxel oraz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uwierzytelnianie wieloskładnikowe</w:t>
      </w:r>
      <w:r>
        <w:rPr>
          <w:rFonts w:ascii="calibri" w:hAnsi="calibri" w:eastAsia="calibri" w:cs="calibri"/>
          <w:sz w:val="24"/>
          <w:szCs w:val="24"/>
        </w:rPr>
        <w:t xml:space="preserve"> (MFA) w całym portfolio produktów i usług rozszerzonych – w tym przy dostępie bezprzewodowym, logowaniu administratorów oraz zdalnym dostępie przez VPN. Firma </w:t>
      </w:r>
      <w:r>
        <w:rPr>
          <w:rFonts w:ascii="calibri" w:hAnsi="calibri" w:eastAsia="calibri" w:cs="calibri"/>
          <w:sz w:val="24"/>
          <w:szCs w:val="24"/>
          <w:b/>
        </w:rPr>
        <w:t xml:space="preserve">realizuje podstawowe zasady CISA</w:t>
      </w:r>
      <w:r>
        <w:rPr>
          <w:rFonts w:ascii="calibri" w:hAnsi="calibri" w:eastAsia="calibri" w:cs="calibri"/>
          <w:sz w:val="24"/>
          <w:szCs w:val="24"/>
        </w:rPr>
        <w:t xml:space="preserve"> również poprzez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eliminację domyślnych haseł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aktywne usuwanie całych klas luk</w:t>
      </w:r>
      <w:r>
        <w:rPr>
          <w:rFonts w:ascii="calibri" w:hAnsi="calibri" w:eastAsia="calibri" w:cs="calibri"/>
          <w:sz w:val="24"/>
          <w:szCs w:val="24"/>
        </w:rPr>
        <w:t xml:space="preserve"> już na etapie rozwoju produktów.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Wiodące w branży standardy zarządzania bezpieczeństwem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Działający od prawie dziesięciu lat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ds. reagowania na incydenty bezpieczeństwa produktów (PSIRT) Grupy Zyxel</w:t>
      </w:r>
      <w:r>
        <w:rPr>
          <w:rFonts w:ascii="calibri" w:hAnsi="calibri" w:eastAsia="calibri" w:cs="calibri"/>
          <w:sz w:val="24"/>
          <w:szCs w:val="24"/>
        </w:rPr>
        <w:t xml:space="preserve"> ściśle współpracuje z globalnymi ekspertami. Działania te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przejrzystej polityce ujawniania luk oraz skoordynowanym procesie naprawczym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Zyxel</w:t>
      </w:r>
      <w:r>
        <w:rPr>
          <w:rFonts w:ascii="calibri" w:hAnsi="calibri" w:eastAsia="calibri" w:cs="calibri"/>
          <w:sz w:val="24"/>
          <w:szCs w:val="24"/>
        </w:rPr>
        <w:t xml:space="preserve"> słynie z </w:t>
      </w:r>
      <w:r>
        <w:rPr>
          <w:rFonts w:ascii="calibri" w:hAnsi="calibri" w:eastAsia="calibri" w:cs="calibri"/>
          <w:sz w:val="24"/>
          <w:szCs w:val="24"/>
          <w:b/>
        </w:rPr>
        <w:t xml:space="preserve">rygorystycznych standardów bezpieczeństwa</w:t>
      </w:r>
      <w:r>
        <w:rPr>
          <w:rFonts w:ascii="calibri" w:hAnsi="calibri" w:eastAsia="calibri" w:cs="calibri"/>
          <w:sz w:val="24"/>
          <w:szCs w:val="24"/>
        </w:rPr>
        <w:t xml:space="preserve">. Należy do elitarnego grona producentów sprzętu sieciowego,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pełnią funkcję organów nadających numery CVE (CNA).</w:t>
      </w:r>
      <w:r>
        <w:rPr>
          <w:rFonts w:ascii="calibri" w:hAnsi="calibri" w:eastAsia="calibri" w:cs="calibri"/>
          <w:sz w:val="24"/>
          <w:szCs w:val="24"/>
        </w:rPr>
        <w:t xml:space="preserve"> Firma osiągnęła przy tym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podwójny certyfikat Provider Acceptance Levels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obok wiodących marek (Cisco, Juniper i F5).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 Zyxel</w:t>
      </w:r>
      <w:r>
        <w:rPr>
          <w:rFonts w:ascii="calibri" w:hAnsi="calibri" w:eastAsia="calibri" w:cs="calibri"/>
          <w:sz w:val="24"/>
          <w:szCs w:val="24"/>
        </w:rPr>
        <w:t xml:space="preserve"> została również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ełnoprawnym członkiem Forum of Incident Response and Security Teams (FIRST)</w:t>
        </w:r>
      </w:hyperlink>
      <w:r>
        <w:rPr>
          <w:rFonts w:ascii="calibri" w:hAnsi="calibri" w:eastAsia="calibri" w:cs="calibri"/>
          <w:sz w:val="24"/>
          <w:szCs w:val="24"/>
        </w:rPr>
        <w:t xml:space="preserve">. Wzmacnia to jej zdolność do </w:t>
      </w:r>
      <w:r>
        <w:rPr>
          <w:rFonts w:ascii="calibri" w:hAnsi="calibri" w:eastAsia="calibri" w:cs="calibri"/>
          <w:sz w:val="24"/>
          <w:szCs w:val="24"/>
          <w:b/>
        </w:rPr>
        <w:t xml:space="preserve">globalnej współpracy przy skoordynowanym reagowaniu na luki w zabezpieczeniach oraz zarządzaniu incydentami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Przejrzysty nadzór nad cyklem życia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stosuje przejrzystą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politykę zarządzania cyklem życia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Pomaga to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długofalowe ryzyko</w:t>
      </w:r>
      <w:r>
        <w:rPr>
          <w:rFonts w:ascii="calibri" w:hAnsi="calibri" w:eastAsia="calibri" w:cs="calibri"/>
          <w:sz w:val="24"/>
          <w:szCs w:val="24"/>
        </w:rPr>
        <w:t xml:space="preserve">. Dzięki jasno określonym harmonogramom konserwacji,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regularnie otrzymują aktualizacje zabezpieczeń oraz wsparcie techniczne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otwarcie informuje o </w:t>
      </w:r>
      <w:r>
        <w:rPr>
          <w:rFonts w:ascii="calibri" w:hAnsi="calibri" w:eastAsia="calibri" w:cs="calibri"/>
          <w:sz w:val="24"/>
          <w:szCs w:val="24"/>
          <w:b/>
        </w:rPr>
        <w:t xml:space="preserve">etapach wsparcia i planowanym wycofywaniu produktów z rynku</w:t>
      </w:r>
      <w:r>
        <w:rPr>
          <w:rFonts w:ascii="calibri" w:hAnsi="calibri" w:eastAsia="calibri" w:cs="calibri"/>
          <w:sz w:val="24"/>
          <w:szCs w:val="24"/>
        </w:rPr>
        <w:t xml:space="preserve">. Ułatwia to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długoterminowych inwestycji technologicznych</w:t>
      </w:r>
      <w:r>
        <w:rPr>
          <w:rFonts w:ascii="calibri" w:hAnsi="calibri" w:eastAsia="calibri" w:cs="calibri"/>
          <w:sz w:val="24"/>
          <w:szCs w:val="24"/>
        </w:rPr>
        <w:t xml:space="preserve">. Pozwala im także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bezpiecznie rezygnować ze starszego sprzętu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niebezpiecznych protokołów sieciowych</w:t>
      </w:r>
      <w:r>
        <w:rPr>
          <w:rFonts w:ascii="calibri" w:hAnsi="calibri" w:eastAsia="calibri" w:cs="calibri"/>
          <w:sz w:val="24"/>
          <w:szCs w:val="24"/>
        </w:rPr>
        <w:t xml:space="preserve">, zanim staną się one źródłem zagrożeń. W ten sposób użytkownicy mogą </w:t>
      </w:r>
      <w:r>
        <w:rPr>
          <w:rFonts w:ascii="calibri" w:hAnsi="calibri" w:eastAsia="calibri" w:cs="calibri"/>
          <w:sz w:val="24"/>
          <w:szCs w:val="24"/>
          <w:b/>
        </w:rPr>
        <w:t xml:space="preserve">łatwiej utrzymać cyberodporność zgodną z nadchodzącymi wymogami unijnego rozporządzenia CRA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https://www.zyxel.com/pl/pl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dotyczące poziomu akceptacji były aktualne na czerwiec 2026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igital-strategy.ec.europa.eu/en/policies/cyber-resilience-act" TargetMode="External"/><Relationship Id="rId9" Type="http://schemas.openxmlformats.org/officeDocument/2006/relationships/hyperlink" Target="https://cloud.google.com/security/resources/m-trends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cisa.gov/securebydesign/pledge" TargetMode="External"/><Relationship Id="rId12" Type="http://schemas.openxmlformats.org/officeDocument/2006/relationships/hyperlink" Target="https://nvd.nist.gov/vuln/cvmap/search?subCats=&amp;amp;amp;acceptLevels=Provider" TargetMode="External"/><Relationship Id="rId13" Type="http://schemas.openxmlformats.org/officeDocument/2006/relationships/hyperlink" Target="http://zyxel.biuroprasowe.pl/word/?hash=43fbbc28ca8b13d51fb5692d6bc28d01&amp;id=212932&amp;typ=epr#_ftn1" TargetMode="External"/><Relationship Id="rId14" Type="http://schemas.openxmlformats.org/officeDocument/2006/relationships/hyperlink" Target="https://www.zyxel.com/global/en/newsroom/press-releases/zyxel-group-joins-global-security-organization-first-as-first-taiwan-networking-provider" TargetMode="External"/><Relationship Id="rId15" Type="http://schemas.openxmlformats.org/officeDocument/2006/relationships/hyperlink" Target="https://www.zyxel.com/global/en/support/end-of-life" TargetMode="External"/><Relationship Id="rId16" Type="http://schemas.openxmlformats.org/officeDocument/2006/relationships/hyperlink" Target="http://zyxel.biuroprasowe.pl/word/?hash=43fbbc28ca8b13d51fb5692d6bc28d01&amp;id=212932&amp;typ=epr%20https:/www.zyxel.com/pl/pl" TargetMode="External"/><Relationship Id="rId17" Type="http://schemas.openxmlformats.org/officeDocument/2006/relationships/hyperlink" Target="http://zyxel.biuroprasowe.pl/word/?hash=43fbbc28ca8b13d51fb5692d6bc28d01&amp;id=212932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2026-07-13T17:58:56+02:00</dcterms:created>
  <dcterms:modified xsi:type="dcterms:W3CDTF">2026-07-13T17:58:56+02:00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