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Konfiguracja urządzeń Zyxel oraz inne wyzwania dotyczące dyrektywy NIS2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Zyxel Networks Polska wraca do przemyśleń związanych z wdrożeniem w Polsce dyrektywy NIS2, które poruszał podczas swojego webinaru.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NIS2?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NIS2 (Network and Information Security 2) </w:t>
      </w:r>
      <w:r>
        <w:rPr>
          <w:rFonts w:ascii="calibri" w:hAnsi="calibri" w:eastAsia="calibri" w:cs="calibri"/>
          <w:sz w:val="24"/>
          <w:szCs w:val="24"/>
        </w:rPr>
        <w:t xml:space="preserve">to unijna dyrektywa stworzona w celu podniesienia poziomu cyberbezpieczeństwa i zbudowania spójniejszych ram bezpieczeństwa cyfrowego w całej UE. Jej cele to: </w:t>
      </w:r>
      <w:r>
        <w:rPr>
          <w:rFonts w:ascii="calibri" w:hAnsi="calibri" w:eastAsia="calibri" w:cs="calibri"/>
          <w:sz w:val="24"/>
          <w:szCs w:val="24"/>
          <w:b/>
        </w:rPr>
        <w:t xml:space="preserve">zwiększenie bezpieczeństwa sieci i systemów informatycznych</w:t>
      </w:r>
      <w:r>
        <w:rPr>
          <w:rFonts w:ascii="calibri" w:hAnsi="calibri" w:eastAsia="calibri" w:cs="calibri"/>
          <w:sz w:val="24"/>
          <w:szCs w:val="24"/>
        </w:rPr>
        <w:t xml:space="preserve"> w sektorach o kluczowym znaczeniu, </w:t>
      </w:r>
      <w:r>
        <w:rPr>
          <w:rFonts w:ascii="calibri" w:hAnsi="calibri" w:eastAsia="calibri" w:cs="calibri"/>
          <w:sz w:val="24"/>
          <w:szCs w:val="24"/>
          <w:b/>
        </w:rPr>
        <w:t xml:space="preserve">wzmocnienie zarządzania ryzykiem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poprawa zgłaszania incydentów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cyberbezpieczeństwa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bjęcie większej liczby sektorów i podmiotów</w:t>
      </w:r>
      <w:r>
        <w:rPr>
          <w:rFonts w:ascii="calibri" w:hAnsi="calibri" w:eastAsia="calibri" w:cs="calibri"/>
          <w:sz w:val="24"/>
          <w:szCs w:val="24"/>
        </w:rPr>
        <w:t xml:space="preserve"> kluczowych lub ważnych dla funkcjonowania państwa i gospodarki, </w:t>
      </w:r>
      <w:r>
        <w:rPr>
          <w:rFonts w:ascii="calibri" w:hAnsi="calibri" w:eastAsia="calibri" w:cs="calibri"/>
          <w:sz w:val="24"/>
          <w:szCs w:val="24"/>
          <w:b/>
        </w:rPr>
        <w:t xml:space="preserve">wzmocnienie współpracy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między państwami członkowskimi w zakresie cyberbezpieczeństwa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nałożenie większej odpowiedzialności na zarządy firm</w:t>
      </w:r>
      <w:r>
        <w:rPr>
          <w:rFonts w:ascii="calibri" w:hAnsi="calibri" w:eastAsia="calibri" w:cs="calibri"/>
          <w:sz w:val="24"/>
          <w:szCs w:val="24"/>
        </w:rPr>
        <w:t xml:space="preserve"> za zgodność z przepisami dotyczącymi cyberbezpieczeństwa.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Państwa członkowskie UE, w tym Polska, miały czas do 17 października 2024 roku na wdrożenie przepisów NIS2 do swoich krajowych porządków prawnych. Jednak rzeczywistość jest nieco inna.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Problemy przy wdrażaniu NIS2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Nadal nie mamy nowelizacji ustawy o krajowym systemie cyberbezpieczeństwa, która wdrożyłaby w Polsce wymagania dyrektywy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NIS2</w:t>
      </w:r>
      <w:r>
        <w:rPr>
          <w:rFonts w:ascii="calibri" w:hAnsi="calibri" w:eastAsia="calibri" w:cs="calibri"/>
          <w:sz w:val="24"/>
          <w:szCs w:val="24"/>
        </w:rPr>
        <w:t xml:space="preserve"> - mówił podczas majowego webinaru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Styś</w:t>
      </w:r>
      <w:r>
        <w:rPr>
          <w:rFonts w:ascii="calibri" w:hAnsi="calibri" w:eastAsia="calibri" w:cs="calibri"/>
          <w:sz w:val="24"/>
          <w:szCs w:val="24"/>
        </w:rPr>
        <w:t xml:space="preserve">, VAR Account Manager,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Polska</w:t>
      </w:r>
      <w:r>
        <w:rPr>
          <w:rFonts w:ascii="calibri" w:hAnsi="calibri" w:eastAsia="calibri" w:cs="calibri"/>
          <w:sz w:val="24"/>
          <w:szCs w:val="24"/>
        </w:rPr>
        <w:t xml:space="preserve"> (będzie ona dopiero w 2025 roku).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ważne, bo każda dyrektywa unijna, w przeciwieństwie do rozporządzeń (które działają bezpośrednio), potrzebuje krajowej ustawy, żeby jej wymagania faktycznie zaczęły obowiązywać w naszym kraju. Bez tej ustawy, jesteśmy w pewnym zawieszeniu.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Chociaż wciąż czekamy na ostateczną wersję ustawy, pracujemy już na skonsolidowanym tekście projektu nowelizacji ustawy o krajowym systemie cyberbezpieczeństwa</w:t>
      </w:r>
      <w:r>
        <w:rPr>
          <w:rFonts w:ascii="calibri" w:hAnsi="calibri" w:eastAsia="calibri" w:cs="calibri"/>
          <w:sz w:val="24"/>
          <w:szCs w:val="24"/>
        </w:rPr>
        <w:t xml:space="preserve"> - dodał biorący udział w spotkaniu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Kowalski</w:t>
      </w:r>
      <w:r>
        <w:rPr>
          <w:rFonts w:ascii="calibri" w:hAnsi="calibri" w:eastAsia="calibri" w:cs="calibri"/>
          <w:sz w:val="24"/>
          <w:szCs w:val="24"/>
        </w:rPr>
        <w:t xml:space="preserve">, inspektor ochrony danych, </w:t>
      </w:r>
      <w:r>
        <w:rPr>
          <w:rFonts w:ascii="calibri" w:hAnsi="calibri" w:eastAsia="calibri" w:cs="calibri"/>
          <w:sz w:val="24"/>
          <w:szCs w:val="24"/>
          <w:b/>
        </w:rPr>
        <w:t xml:space="preserve">Kowalski ORG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jest istotna zmiana, ponieważ ten projekt szczegółowo opisuje obowiązki, jakie spadną na podmioty kluczowe i ważne po wejściu w życie nowych regulacji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wskazuje na szereg problemów dla administratorów IT oraz firm: brak czasu i zasobów na czytanie ustaw, złożoność procesu audytu, presja czasu oraz ryzyko (IT wdraża zalecenia bez pełnego zrozumienia i weryfikacji ustaleń audytowych lub planu zarządzania ryzykiem).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Propozycje rozwiązań problemów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jeden z kroków na drodze rozwiązania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Kowalski</w:t>
      </w:r>
      <w:r>
        <w:rPr>
          <w:rFonts w:ascii="calibri" w:hAnsi="calibri" w:eastAsia="calibri" w:cs="calibri"/>
          <w:sz w:val="24"/>
          <w:szCs w:val="24"/>
        </w:rPr>
        <w:t xml:space="preserve"> wskazał na jasny podział odpowiedzialności. Audytem i analizą ryzyka powinni zajmować się specjaliści do spraw bezpieczeństwa lub audytorzy. Wdrożeniem zaleceń z kolei dział IT oraz administratorzy sieci.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krokiem jest stosowanie razem uznanych norm międzynarodowych. Choć mogą one budzić obawy klientów, dają jasny i praktyczny opis zadań, pomagając przełożyć wymagania na konkretne działania techniczne. Dodatkowo możliwe jest selektywne podejście. Pokazuje to jeden z omawianych przykładów wdrożeń urządzeń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 (w szpitalu wojewódzkim), gdzie skupiono się tylko na segmentacji sieci według ISO 27002 (a nie na całym wdrażaniu tej normy).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Cała ta dyrektywa i nasza ustawa stawiają na mądre podejście – oparte na ryzyku. Chodzi o to, by dobierać środki bezpieczeństwa adekwatnie do tego, co realnie zagraża, a nie tylko odhaczać punkty na jakiejś abstrakcyjnej liście</w:t>
      </w:r>
      <w:r>
        <w:rPr>
          <w:rFonts w:ascii="calibri" w:hAnsi="calibri" w:eastAsia="calibri" w:cs="calibri"/>
          <w:sz w:val="24"/>
          <w:szCs w:val="24"/>
        </w:rPr>
        <w:t xml:space="preserve"> -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Styś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rozwiązanie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, które zostało pomyślnie wdrożone, to </w:t>
      </w:r>
      <w:r>
        <w:rPr>
          <w:rFonts w:ascii="calibri" w:hAnsi="calibri" w:eastAsia="calibri" w:cs="calibri"/>
          <w:sz w:val="24"/>
          <w:szCs w:val="24"/>
          <w:b/>
        </w:rPr>
        <w:t xml:space="preserve">Nebula Control Center</w:t>
      </w:r>
      <w:r>
        <w:rPr>
          <w:rFonts w:ascii="calibri" w:hAnsi="calibri" w:eastAsia="calibri" w:cs="calibri"/>
          <w:sz w:val="24"/>
          <w:szCs w:val="24"/>
        </w:rPr>
        <w:t xml:space="preserve"> w urzędzie miejskim dla zarządzania aktualizacjami (zgodnie z projektem ustawy wdrażającej </w:t>
      </w:r>
      <w:r>
        <w:rPr>
          <w:rFonts w:ascii="calibri" w:hAnsi="calibri" w:eastAsia="calibri" w:cs="calibri"/>
          <w:sz w:val="24"/>
          <w:szCs w:val="24"/>
          <w:b/>
        </w:rPr>
        <w:t xml:space="preserve">NIS2</w:t>
      </w:r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Urząd miejski ma rozproszoną infrastrukturę sieciową w kilku lokalizacjach. Musi wdrożyć efektywny i udokumentowany proces regularnych aktualizacji firmware'u tych urządzeń, aby zminimalizować ryzyko wykorzystania znanych luk. Ręczne sprawdzanie i instalowanie aktualizacji jest czasochłonne i podatne na błędy</w:t>
      </w:r>
      <w:r>
        <w:rPr>
          <w:rFonts w:ascii="calibri" w:hAnsi="calibri" w:eastAsia="calibri" w:cs="calibri"/>
          <w:sz w:val="24"/>
          <w:szCs w:val="24"/>
        </w:rPr>
        <w:t xml:space="preserve"> - tłumaczył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Styś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 urządzenia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Zyxel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urzędzie są podłączone do chmury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Administrator widzi status ich oraz wersji ich oprogramowania w jednym miejscu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Nebula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sama monitoruje dostępność nowych wersji firmware’u. A co najważniejsze, pozwala zaplanować proces aktualizacji.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Odpowiednie środki najważniejsze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Krzysztof Kowalski</w:t>
      </w:r>
      <w:r>
        <w:rPr>
          <w:rFonts w:ascii="calibri" w:hAnsi="calibri" w:eastAsia="calibri" w:cs="calibri"/>
          <w:sz w:val="24"/>
          <w:szCs w:val="24"/>
        </w:rPr>
        <w:t xml:space="preserve"> przypomniał też, że administrator musi umieć wykazać dlaczego wybrał takie, a nie inne zabezpieczenia (podstawą jest przeprowadzona analiza ryzyka).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Przeglądając decyzje prezesa UODO, widzimy powtarzający się schemat. Kary administracyjne są często nakładane nie tylko za sam fakt naruszenia ochrony danych, ale przede wszystkim za brak wdrożenia odpowiednich środków technicznych i organizacyjnych zapewniających bezpieczeństwo adekwatne do ryzyka</w:t>
      </w:r>
      <w:r>
        <w:rPr>
          <w:rFonts w:ascii="calibri" w:hAnsi="calibri" w:eastAsia="calibri" w:cs="calibri"/>
          <w:sz w:val="24"/>
          <w:szCs w:val="24"/>
        </w:rPr>
        <w:t xml:space="preserve"> - wyjaśnił.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iele decyzji punktuje brak regularnego testowania, mierzenia i oceniania skuteczności tych środków, brak analizy ryzyka związanego z przetwarzaniem czy brak weryfikacji podmiotów przetwarzających.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Aleksander Styś</w:t>
      </w:r>
      <w:r>
        <w:rPr>
          <w:rFonts w:ascii="calibri" w:hAnsi="calibri" w:eastAsia="calibri" w:cs="calibri"/>
          <w:sz w:val="24"/>
          <w:szCs w:val="24"/>
        </w:rPr>
        <w:t xml:space="preserve"> zwrócił z kolei uwagę, że ogólne zasady i wymagania prawne należy przełożyć na konkretne działania konfiguracyjne - zgodnie z najlepszymi praktykami - w infrastrukturze sieciowej - w tym na urządzeniach </w:t>
      </w:r>
      <w:r>
        <w:rPr>
          <w:rFonts w:ascii="calibri" w:hAnsi="calibri" w:eastAsia="calibri" w:cs="calibri"/>
          <w:sz w:val="24"/>
          <w:szCs w:val="24"/>
          <w:b/>
        </w:rPr>
        <w:t xml:space="preserve">Zyxel</w:t>
      </w:r>
      <w:r>
        <w:rPr>
          <w:rFonts w:ascii="calibri" w:hAnsi="calibri" w:eastAsia="calibri" w:cs="calibri"/>
          <w:sz w:val="24"/>
          <w:szCs w:val="24"/>
        </w:rPr>
        <w:t xml:space="preserve">. Zacząć trzeba od minimalnych środków zarządzania ryzykiem w cyberbezpieczeństwie, które wymienia wymienia 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  <w:b/>
        </w:rPr>
        <w:t xml:space="preserve">rt. 21, ust. 2 NIS2</w:t>
      </w:r>
      <w:r>
        <w:rPr>
          <w:rFonts w:ascii="calibri" w:hAnsi="calibri" w:eastAsia="calibri" w:cs="calibri"/>
          <w:sz w:val="24"/>
          <w:szCs w:val="24"/>
        </w:rPr>
        <w:t xml:space="preserve">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polityka analizy ryzyka i bezpieczeństwa systemów informatycznych,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incydentów,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ciągłość działania,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 łańcucha dostaw,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 w nabywaniu, rozwoju, utrzymaniu,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ocena skuteczności środków,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cyberhigiena i szkolenia,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kryptografia i szyfrowanie,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bezpieczeństwo zasobów ludzkich / kontrola dostępu,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stosowanie MFA.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oraz platformy Zyxel oferują szereg rozwiązań, z których można tu korzystać. Na przykład </w:t>
      </w:r>
      <w:r>
        <w:rPr>
          <w:rFonts w:ascii="calibri" w:hAnsi="calibri" w:eastAsia="calibri" w:cs="calibri"/>
          <w:sz w:val="24"/>
          <w:szCs w:val="24"/>
          <w:b/>
        </w:rPr>
        <w:t xml:space="preserve">Zyxel CNM SecuReporter </w:t>
      </w:r>
      <w:r>
        <w:rPr>
          <w:rFonts w:ascii="calibri" w:hAnsi="calibri" w:eastAsia="calibri" w:cs="calibri"/>
          <w:sz w:val="24"/>
          <w:szCs w:val="24"/>
        </w:rPr>
        <w:t xml:space="preserve">- usługa analityczna i raportowa dla linii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ZyWALL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Nebula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Jeśli potrzebujesz pomocy w konfiguracji Zyxel zgodnie z NIS2 lub audytu czy analizy ryzyka, skontaktuj się z nami lub naszymi autoryzowanymi partnerami. Nie zostawiamy Was samych z tym wyzwaniem</w:t>
      </w:r>
      <w:r>
        <w:rPr>
          <w:rFonts w:ascii="calibri" w:hAnsi="calibri" w:eastAsia="calibri" w:cs="calibri"/>
          <w:sz w:val="24"/>
          <w:szCs w:val="24"/>
        </w:rPr>
        <w:t xml:space="preserve"> - mówią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Styś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Aleksander Turski</w:t>
      </w:r>
      <w:r>
        <w:rPr>
          <w:rFonts w:ascii="calibri" w:hAnsi="calibri" w:eastAsia="calibri" w:cs="calibri"/>
          <w:sz w:val="24"/>
          <w:szCs w:val="24"/>
        </w:rPr>
        <w:t xml:space="preserve">, Sales Engineer, </w:t>
      </w:r>
      <w:r>
        <w:rPr>
          <w:rFonts w:ascii="calibri" w:hAnsi="calibri" w:eastAsia="calibri" w:cs="calibri"/>
          <w:sz w:val="24"/>
          <w:szCs w:val="24"/>
          <w:b/>
        </w:rPr>
        <w:t xml:space="preserve">Zyxel Networks Polsk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4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Całość webinaru można obejrzeć na kanale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Zyxel Networks Polska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Polecamy także artykuł: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Zyxel Networks wzmacnia cyberbezpieczeństwo w zgodzie z dyrektywą NIS2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Obowiązki i implikacje NIS2 zbadane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youtube.com/watch?v=EbBoEhVnk1k&amp;amp;amp;t=239s&amp;amp;amp;ab_channel=ZyxelNetworksPolska" TargetMode="External"/><Relationship Id="rId12" Type="http://schemas.openxmlformats.org/officeDocument/2006/relationships/hyperlink" Target="https://www.zyxel.com/pl/pl/newsroom/press-releases/zyxel-networks-wzmacnia-cyberbezpieczenstwo-w-zgodzie-z-dyrektywa-nis2" TargetMode="External"/><Relationship Id="rId13" Type="http://schemas.openxmlformats.org/officeDocument/2006/relationships/hyperlink" Target="https://www.zyxel.com/pl/pl/solutions/nis2-direc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2026-08-24T04:53:21+02:00</dcterms:created>
  <dcterms:modified xsi:type="dcterms:W3CDTF">2026-08-24T04:53:21+02:00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