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Konfiguracja urządzeń Zyxel oraz inne wyzwania dotyczące dyrektywy NIS2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wraca do przemyśleń związanych z wdrożeniem w Polsce dyrektywy NIS2, które poruszał podczas swojego 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NIS2?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NIS2 (Network and Information Security 2) </w:t>
      </w:r>
      <w:r>
        <w:rPr>
          <w:rFonts w:ascii="calibri" w:hAnsi="calibri" w:eastAsia="calibri" w:cs="calibri"/>
          <w:sz w:val="24"/>
          <w:szCs w:val="24"/>
        </w:rPr>
        <w:t xml:space="preserve">to unijna dyrektywa stworzona w celu podniesienia poziomu cyberbezpieczeństwa i zbudowania spójniejszych ram bezpieczeństwa cyfrowego w całej UE. Jej cele to: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 sieci 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w sektorach o kluczowym znaczeniu,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zarządzania ryzykiem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poprawa zgłaszania incydentów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bjęcie większej liczby sektorów i podmiotów</w:t>
      </w:r>
      <w:r>
        <w:rPr>
          <w:rFonts w:ascii="calibri" w:hAnsi="calibri" w:eastAsia="calibri" w:cs="calibri"/>
          <w:sz w:val="24"/>
          <w:szCs w:val="24"/>
        </w:rPr>
        <w:t xml:space="preserve"> kluczowych lub ważnych dla funkcjonowania państwa i gospodarki,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współpracy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państwami członkowskimi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nałożenie większej odpowiedzialności na zarządy firm</w:t>
      </w:r>
      <w:r>
        <w:rPr>
          <w:rFonts w:ascii="calibri" w:hAnsi="calibri" w:eastAsia="calibri" w:cs="calibri"/>
          <w:sz w:val="24"/>
          <w:szCs w:val="24"/>
        </w:rPr>
        <w:t xml:space="preserve"> za zgodność z przepisami dotyczącymi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członkowskie UE, w tym Polska, miały czas do 17 października 2024 roku na wdrożenie przepisów NIS2 do swoich krajowych porządków prawnych. Jednak rzeczywistość jest nieco inna.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przy wdrażaniu NIS2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Nadal nie mamy nowelizacji ustawy o krajowym systemie cyberbezpieczeństwa, która wdrożyłaby w Polsce wymagania dyrektywy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 - mówił podczas majowego webinaru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(będzie ona dopiero w 2025 roku).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ważne, bo każda dyrektywa unijna, w przeciwieństwie do rozporządzeń (które działają bezpośrednio), potrzebuje krajowej ustawy, żeby jej wymagania faktycznie zaczęły obowiązywać w naszym kraju. Bez tej ustawy, jesteśmy w pewnym zawieszeniu.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wciąż czekamy na ostateczną wersję ustawy, pracujemy już na skonsolidowanym tekście projektu nowelizacji ustawy o krajowym systemie cyberbezpieczeństwa</w:t>
      </w:r>
      <w:r>
        <w:rPr>
          <w:rFonts w:ascii="calibri" w:hAnsi="calibri" w:eastAsia="calibri" w:cs="calibri"/>
          <w:sz w:val="24"/>
          <w:szCs w:val="24"/>
        </w:rPr>
        <w:t xml:space="preserve"> - dodał biorący udział w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, inspektor ochrony danych, </w:t>
      </w:r>
      <w:r>
        <w:rPr>
          <w:rFonts w:ascii="calibri" w:hAnsi="calibri" w:eastAsia="calibri" w:cs="calibri"/>
          <w:sz w:val="24"/>
          <w:szCs w:val="24"/>
          <w:b/>
        </w:rPr>
        <w:t xml:space="preserve">Kowalski ORG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istotna zmiana, ponieważ ten projekt szczegółowo opisuje obowiązki, jakie spadną na podmioty kluczowe i ważne po wejściu w życie nowych regulacji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wskazuje na szereg problemów dla administratorów IT oraz firm: brak czasu i zasobów na czytanie ustaw, złożoność procesu audytu, presja czasu oraz ryzyko (IT wdraża zalecenia bez pełnego zrozumienia i weryfikacji ustaleń audytowych lub planu zarządzania ryzykiem).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rozwiązań problemów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kroków na drodze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wskazał na jasny podział odpowiedzialności. Audytem i analizą ryzyka powinni zajmować się specjaliści do spraw bezpieczeństwa lub audytorzy. Wdrożeniem zaleceń z kolei dział IT oraz administratorzy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krokiem jest stosowanie razem uznanych norm międzynarodowych. Choć mogą one budzić obawy klientów, dają jasny i praktyczny opis zadań, pomagając przełożyć wymagania na konkretne działania techniczne. Dodatkowo możliwe jest selektywne podejście. Pokazuje to jeden z omawianych przykładów wdrożeń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(w szpitalu wojewódzkim), gdzie skupiono się tylko na segmentacji sieci według ISO 27002 (a nie na całym wdrażaniu tej normy).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Cała ta dyrektywa i nasza ustawa stawiają na mądre podejście – oparte na ryzyku. Chodzi o to, by dobierać środki bezpieczeństwa adekwatnie do tego, co realnie zagraża, a nie tylko odhaczać punkty na jakiejś abstrakcyjnej liście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, które zostało pomyślnie wdrożone, to </w:t>
      </w:r>
      <w:r>
        <w:rPr>
          <w:rFonts w:ascii="calibri" w:hAnsi="calibri" w:eastAsia="calibri" w:cs="calibri"/>
          <w:sz w:val="24"/>
          <w:szCs w:val="24"/>
          <w:b/>
        </w:rPr>
        <w:t xml:space="preserve">Nebula Control Center</w:t>
      </w:r>
      <w:r>
        <w:rPr>
          <w:rFonts w:ascii="calibri" w:hAnsi="calibri" w:eastAsia="calibri" w:cs="calibri"/>
          <w:sz w:val="24"/>
          <w:szCs w:val="24"/>
        </w:rPr>
        <w:t xml:space="preserve"> w urzędzie miejskim dla zarządzania aktualizacjami (zgodnie z projektem ustawy wdrażającej </w:t>
      </w:r>
      <w:r>
        <w:rPr>
          <w:rFonts w:ascii="calibri" w:hAnsi="calibri" w:eastAsia="calibri" w:cs="calibri"/>
          <w:sz w:val="24"/>
          <w:szCs w:val="24"/>
          <w:b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 miejski ma rozproszoną infrastrukturę sieciową w kilku lokalizacjach. Musi wdrożyć efektywny i udokumentowany proces regularnych aktualizacji firmware'u tych urządzeń, aby zminimalizować ryzyko wykorzystania znanych luk. Ręczne sprawdzanie i instalowanie aktualizacji jest czasochłonne i podatne na błędy</w:t>
      </w:r>
      <w:r>
        <w:rPr>
          <w:rFonts w:ascii="calibri" w:hAnsi="calibri" w:eastAsia="calibri" w:cs="calibri"/>
          <w:sz w:val="24"/>
          <w:szCs w:val="24"/>
        </w:rPr>
        <w:t xml:space="preserve"> - tłumaczył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urządzenia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urzędzie są podłączone do chmury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Administrator widzi status ich oraz wersji ich oprogramowania w jednym miejscu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sama monitoruje dostępność nowych wersji firmware’u. A co najważniejsze, pozwala zaplanować proces aktualizacji.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środki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przypomniał też, że administrator musi umieć wykazać dlaczego wybrał takie, a nie inne zabezpieczenia (podstawą jest przeprowadzona analiza ryzyka).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decyzje prezesa UODO, widzimy powtarzający się schemat. Kary administracyjne są często nakładane nie tylko za sam fakt naruszenia ochrony danych, ale przede wszystkim za brak wdrożenia odpowiednich środków technicznych i organizacyjnych zapewniających bezpieczeństwo adekwatne do ryzyka</w:t>
      </w:r>
      <w:r>
        <w:rPr>
          <w:rFonts w:ascii="calibri" w:hAnsi="calibri" w:eastAsia="calibri" w:cs="calibri"/>
          <w:sz w:val="24"/>
          <w:szCs w:val="24"/>
        </w:rPr>
        <w:t xml:space="preserve"> - wyjaśnił.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iele decyzji punktuje brak regularnego testowania, mierzenia i oceniania skuteczności tych środków, brak analizy ryzyka związanego z przetwarzaniem czy brak weryfikacji podmiotów przetwarzających.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zwrócił z kolei uwagę, że ogólne zasady i wymagania prawne należy przełożyć na konkretne działania konfiguracyjne - zgodnie z najlepszymi praktykami - w infrastrukturze sieciowej - w tym na urządzeniach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. Zacząć trzeba od minimalnych środków zarządzania ryzykiem w cyberbezpieczeństwie, które wymienia wymienia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rt. 21, ust. 2 NIS2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polityka analizy ryzyka i bezpieczeństwa systemów informatycznych,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incydentów,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łańcucha dostaw,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w nabywaniu, rozwoju, utrzymaniu,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skuteczności środków,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cyberhigiena i szkolenia,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kryptografia i szyfrowanie,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zasobów ludzkich / kontrola dostępu,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MFA.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oraz platformy Zyxel oferują szereg rozwiązań, z których można tu korzystać.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Zyxel CNM SecuReporter </w:t>
      </w:r>
      <w:r>
        <w:rPr>
          <w:rFonts w:ascii="calibri" w:hAnsi="calibri" w:eastAsia="calibri" w:cs="calibri"/>
          <w:sz w:val="24"/>
          <w:szCs w:val="24"/>
        </w:rPr>
        <w:t xml:space="preserve">- usługa analityczna i raportowa dla linii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ZyWALL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pomocy w konfiguracji Zyxel zgodnie z NIS2 lub audytu czy analizy ryzyka, skontaktuj się z nami lub naszymi autoryzowanymi partnerami. Nie zostawiamy Was samych z tym wyzwaniem</w:t>
      </w:r>
      <w:r>
        <w:rPr>
          <w:rFonts w:ascii="calibri" w:hAnsi="calibri" w:eastAsia="calibri" w:cs="calibri"/>
          <w:sz w:val="24"/>
          <w:szCs w:val="24"/>
        </w:rPr>
        <w:t xml:space="preserve"> - mówią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Turski</w:t>
      </w:r>
      <w:r>
        <w:rPr>
          <w:rFonts w:ascii="calibri" w:hAnsi="calibri" w:eastAsia="calibri" w:cs="calibri"/>
          <w:sz w:val="24"/>
          <w:szCs w:val="24"/>
        </w:rPr>
        <w:t xml:space="preserve">, Sales Engineer,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Całość webinaru można obejrzeć na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także artykuł: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wzmacnia cyberbezpieczeństwo w zgodzie z dyrektywą NIS2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i implikacje NIS2 zbadane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EbBoEhVnk1k&amp;amp;amp;t=239s&amp;amp;amp;ab_channel=ZyxelNetworksPolska" TargetMode="External"/><Relationship Id="rId12" Type="http://schemas.openxmlformats.org/officeDocument/2006/relationships/hyperlink" Target="https://www.zyxel.com/pl/pl/newsroom/press-releases/zyxel-networks-wzmacnia-cyberbezpieczenstwo-w-zgodzie-z-dyrektywa-nis2" TargetMode="External"/><Relationship Id="rId13" Type="http://schemas.openxmlformats.org/officeDocument/2006/relationships/hyperlink" Target="https://www.zyxel.com/pl/pl/solutions/nis2-dir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2026-07-06T19:28:28+02:00</dcterms:created>
  <dcterms:modified xsi:type="dcterms:W3CDTF">2026-07-06T19:28:28+02:00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