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Zyxel uznana przez Global S&amp;P za jednego z 5% liderów światowych zrównoważonego rozwoju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Zyxel Group jest jedną z zaledwie pięciu firm w swojej branży uwzględnionych w publikacji benchmarkowej.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Zyxel Networks, lider w dostarczaniu bezpiecznych, opartych na sztucznej inteligencji rozwiązań sieciowych w chmurze, ogłosił, że </w:t>
      </w:r>
      <w:r>
        <w:rPr>
          <w:rFonts w:ascii="calibri" w:hAnsi="calibri" w:eastAsia="calibri" w:cs="calibri"/>
          <w:sz w:val="24"/>
          <w:szCs w:val="24"/>
          <w:b/>
        </w:rPr>
        <w:t xml:space="preserve">Zyxel Group po raz kolejny wyróżniła się w rankingu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S&amp;P Global Sustainability Yearbook 2025</w:t>
        </w:r>
      </w:hyperlink>
      <w:r>
        <w:rPr>
          <w:rFonts w:ascii="calibri" w:hAnsi="calibri" w:eastAsia="calibri" w:cs="calibri"/>
          <w:sz w:val="24"/>
          <w:szCs w:val="24"/>
        </w:rPr>
        <w:t xml:space="preserve">. Wyróżniając się wśród ponad 7 690 firm na całym świecie,</w:t>
      </w:r>
      <w:r>
        <w:rPr>
          <w:rFonts w:ascii="calibri" w:hAnsi="calibri" w:eastAsia="calibri" w:cs="calibri"/>
          <w:sz w:val="24"/>
          <w:szCs w:val="24"/>
          <w:b/>
        </w:rPr>
        <w:t xml:space="preserve"> Zyxel Group zdobyła miejsce w 5% najlepszych firm z branży sprzętu komunikacyjnego</w:t>
      </w:r>
      <w:r>
        <w:rPr>
          <w:rFonts w:ascii="calibri" w:hAnsi="calibri" w:eastAsia="calibri" w:cs="calibri"/>
          <w:sz w:val="24"/>
          <w:szCs w:val="24"/>
        </w:rPr>
        <w:t xml:space="preserve">, pokazując swoje silne zaangażowanie w zrównoważone praktyki.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Najnowsze świadectwo zaangażowania Zyxel Group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S&amp;P Global Sustainability Yearbook</w:t>
      </w:r>
      <w:r>
        <w:rPr>
          <w:rFonts w:ascii="calibri" w:hAnsi="calibri" w:eastAsia="calibri" w:cs="calibri"/>
          <w:sz w:val="24"/>
          <w:szCs w:val="24"/>
        </w:rPr>
        <w:t xml:space="preserve"> ocenia firmy na podstawie ich wyników Corporate Sustainability Assessment (CSA), który jest tym samym punktem odniesienia, który jest wykorzystywany w Dow Jones Sustainability Indices (DJSI). W tym roku </w:t>
      </w:r>
      <w:r>
        <w:rPr>
          <w:rFonts w:ascii="calibri" w:hAnsi="calibri" w:eastAsia="calibri" w:cs="calibri"/>
          <w:sz w:val="24"/>
          <w:szCs w:val="24"/>
          <w:b/>
        </w:rPr>
        <w:t xml:space="preserve">wyróżniono łącznie 780 firm z 62 branż, co odzwierciedla rygorystyczne standardy wymagane do włączenia do rankingu</w:t>
      </w:r>
      <w:r>
        <w:rPr>
          <w:rFonts w:ascii="calibri" w:hAnsi="calibri" w:eastAsia="calibri" w:cs="calibri"/>
          <w:sz w:val="24"/>
          <w:szCs w:val="24"/>
        </w:rPr>
        <w:t xml:space="preserve">. Spośród</w:t>
      </w:r>
      <w:r>
        <w:rPr>
          <w:rFonts w:ascii="calibri" w:hAnsi="calibri" w:eastAsia="calibri" w:cs="calibri"/>
          <w:sz w:val="24"/>
          <w:szCs w:val="24"/>
          <w:b/>
        </w:rPr>
        <w:t xml:space="preserve"> 54 firm</w:t>
      </w:r>
      <w:r>
        <w:rPr>
          <w:rFonts w:ascii="calibri" w:hAnsi="calibri" w:eastAsia="calibri" w:cs="calibri"/>
          <w:sz w:val="24"/>
          <w:szCs w:val="24"/>
        </w:rPr>
        <w:t xml:space="preserve"> ocenianych w sektorze sprzętu komunikacyjnego, </w:t>
      </w:r>
      <w:r>
        <w:rPr>
          <w:rFonts w:ascii="calibri" w:hAnsi="calibri" w:eastAsia="calibri" w:cs="calibri"/>
          <w:sz w:val="24"/>
          <w:szCs w:val="24"/>
          <w:b/>
        </w:rPr>
        <w:t xml:space="preserve">tylko 5 zostało wybranych do wyróżnienia, w tym Zyxel, Cisco i Ericsson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Włączenie Zyxel Group do S&amp;P Global Sustainability Yearbook jest najnowszym świadectwem jej wieloletniego zaangażowania w doskonałość ESG</w:t>
      </w:r>
      <w:r>
        <w:rPr>
          <w:rFonts w:ascii="calibri" w:hAnsi="calibri" w:eastAsia="calibri" w:cs="calibri"/>
          <w:sz w:val="24"/>
          <w:szCs w:val="24"/>
        </w:rPr>
        <w:t xml:space="preserve">. Uznanie to opiera się na serii </w:t>
      </w:r>
      <w:r>
        <w:rPr>
          <w:rFonts w:ascii="calibri" w:hAnsi="calibri" w:eastAsia="calibri" w:cs="calibri"/>
          <w:sz w:val="24"/>
          <w:szCs w:val="24"/>
          <w:b/>
        </w:rPr>
        <w:t xml:space="preserve">prestiżowych nagród i ratingów, które Zyxel otrzymał w 2024 r.</w:t>
      </w:r>
      <w:r>
        <w:rPr>
          <w:rFonts w:ascii="calibri" w:hAnsi="calibri" w:eastAsia="calibri" w:cs="calibri"/>
          <w:sz w:val="24"/>
          <w:szCs w:val="24"/>
        </w:rPr>
        <w:t xml:space="preserve">, w tym potrójne wyróżnienia od Taiwan Corporate Sustainability Awards (TCSA), uznanie za jedno ze 100 najlepszych przedsiębiorstw w zakresie konkurencyjności węglowej przez 3 kolejne lata, ocenę A od MSCI ESG Rating, ocenę na poziomie zarządzania B od Carbon Disclosure Project (CDP) oraz Srebrny Medal od EcoVadis. Osiągnięcia te podkreślają pozycję Zyxel Group wiodącą w zakresie zrównoważonego rozwoju i jej ciągłe wysiłki na rzecz wyznaczania standardów branżowych.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Zyxel Group i zrównoważony rozwój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Osiągnięcie celów zrównoważonego rozwoju wymaga </w:t>
      </w:r>
      <w:r>
        <w:rPr>
          <w:rFonts w:ascii="calibri" w:hAnsi="calibri" w:eastAsia="calibri" w:cs="calibri"/>
          <w:sz w:val="24"/>
          <w:szCs w:val="24"/>
          <w:b/>
        </w:rPr>
        <w:t xml:space="preserve">wspólnych działań w różnych branżach i łańcuchach dostaw</w:t>
      </w:r>
      <w:r>
        <w:rPr>
          <w:rFonts w:ascii="calibri" w:hAnsi="calibri" w:eastAsia="calibri" w:cs="calibri"/>
          <w:sz w:val="24"/>
          <w:szCs w:val="24"/>
        </w:rPr>
        <w:t xml:space="preserve">. Zdając sobie z tego sprawę, </w:t>
      </w:r>
      <w:r>
        <w:rPr>
          <w:rFonts w:ascii="calibri" w:hAnsi="calibri" w:eastAsia="calibri" w:cs="calibri"/>
          <w:sz w:val="24"/>
          <w:szCs w:val="24"/>
          <w:b/>
        </w:rPr>
        <w:t xml:space="preserve">Zyxel Group aktywnie przyczynia się do szerszego globalnego ruchu na rzecz zrównoważonego rozwoju, realizując ambitne cele redukcji emisji dwutlenku węgla</w:t>
      </w:r>
      <w:r>
        <w:rPr>
          <w:rFonts w:ascii="calibri" w:hAnsi="calibri" w:eastAsia="calibri" w:cs="calibri"/>
          <w:sz w:val="24"/>
          <w:szCs w:val="24"/>
        </w:rPr>
        <w:t xml:space="preserve">. Firma dąży do zmniejszenia emisji o 50% do 2030 r. i osiągnięcia zerowej emisji netto do 2050 r., zgodnie z inicjatywą Science Based Targets (SBTi). Ponadto </w:t>
      </w:r>
      <w:r>
        <w:rPr>
          <w:rFonts w:ascii="calibri" w:hAnsi="calibri" w:eastAsia="calibri" w:cs="calibri"/>
          <w:sz w:val="24"/>
          <w:szCs w:val="24"/>
          <w:b/>
        </w:rPr>
        <w:t xml:space="preserve">Zyxel Group dąży do zrównoważonego rozwoju w całym swoim łańcuchu dostaw poprzez inicjatywy takie jak "Zero Carbon Academy"</w:t>
      </w:r>
      <w:r>
        <w:rPr>
          <w:rFonts w:ascii="calibri" w:hAnsi="calibri" w:eastAsia="calibri" w:cs="calibri"/>
          <w:sz w:val="24"/>
          <w:szCs w:val="24"/>
        </w:rPr>
        <w:t xml:space="preserve">, która pomaga dostawcom poprawić zarządzanie emisjami dwutlenku węgla i opracowywać produkty niskoemisyjne.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Ciągłe włączanie Group do S&amp;P Global Sustainability Yearbook </w:t>
      </w:r>
      <w:r>
        <w:rPr>
          <w:rFonts w:ascii="calibri" w:hAnsi="calibri" w:eastAsia="calibri" w:cs="calibri"/>
          <w:sz w:val="24"/>
          <w:szCs w:val="24"/>
          <w:b/>
        </w:rPr>
        <w:t xml:space="preserve">podkreśla jej wiodącą pozycję w zakresie zrównoważonych praktyk biznesowych</w:t>
      </w:r>
      <w:r>
        <w:rPr>
          <w:rFonts w:ascii="calibri" w:hAnsi="calibri" w:eastAsia="calibri" w:cs="calibri"/>
          <w:sz w:val="24"/>
          <w:szCs w:val="24"/>
        </w:rPr>
        <w:t xml:space="preserve">. Firma </w:t>
      </w:r>
      <w:r>
        <w:rPr>
          <w:rFonts w:ascii="calibri" w:hAnsi="calibri" w:eastAsia="calibri" w:cs="calibri"/>
          <w:sz w:val="24"/>
          <w:szCs w:val="24"/>
          <w:b/>
        </w:rPr>
        <w:t xml:space="preserve">pozostaje zaangażowana w zapewnianie znaczącego i trwałego wpływu na środowisko i społeczeństwo </w:t>
      </w:r>
      <w:r>
        <w:rPr>
          <w:rFonts w:ascii="calibri" w:hAnsi="calibri" w:eastAsia="calibri" w:cs="calibri"/>
          <w:sz w:val="24"/>
          <w:szCs w:val="24"/>
        </w:rPr>
        <w:t xml:space="preserve">poprzez inicjatywy, które przynoszą korzyści społecznościom na całym świecie i przyczyniają się do realizacji globalnych celów zrównoważonego rozwoju.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pglobal.com/esg/csa/yearbook/2025/ranking/index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2026-08-01T12:38:53+02:00</dcterms:created>
  <dcterms:modified xsi:type="dcterms:W3CDTF">2026-08-01T12:38:53+02:00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