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uznana przez Global S&amp;P za jednego z 5% liderów światowych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jest jedną z zaledwie pięciu firm w swojej branży uwzględnionych w publikacji benchmarkowej.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ogłosił,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po raz kolejny wyróżniła się w rankingu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S&amp;P Global Sustainability Yearbook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Wyróżniając się wśród ponad 7 690 firm na całym świecie,</w:t>
      </w:r>
      <w:r>
        <w:rPr>
          <w:rFonts w:ascii="calibri" w:hAnsi="calibri" w:eastAsia="calibri" w:cs="calibri"/>
          <w:sz w:val="24"/>
          <w:szCs w:val="24"/>
          <w:b/>
        </w:rPr>
        <w:t xml:space="preserve"> Zyxel Group zdobyła miejsce w 5% najlepszych firm z branży sprzętu komunikacyjnego</w:t>
      </w:r>
      <w:r>
        <w:rPr>
          <w:rFonts w:ascii="calibri" w:hAnsi="calibri" w:eastAsia="calibri" w:cs="calibri"/>
          <w:sz w:val="24"/>
          <w:szCs w:val="24"/>
        </w:rPr>
        <w:t xml:space="preserve">, pokazując swoje silne zaangażowanie w zrównoważone praktyki.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świadectwo zaangażowania Zyxel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ocenia firmy na podstawie ich wyników Corporate Sustainability Assessment (CSA), który jest tym samym punktem odniesienia, który jest wykorzystywany w Dow Jones Sustainability Indices (DJSI).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wyróżniono łącznie 780 firm z 62 branż, co odzwierciedla rygorystyczne standardy wymagane do włączenia do rankingu</w:t>
      </w:r>
      <w:r>
        <w:rPr>
          <w:rFonts w:ascii="calibri" w:hAnsi="calibri" w:eastAsia="calibri" w:cs="calibri"/>
          <w:sz w:val="24"/>
          <w:szCs w:val="24"/>
        </w:rPr>
        <w:t xml:space="preserve">. Spośród</w:t>
      </w:r>
      <w:r>
        <w:rPr>
          <w:rFonts w:ascii="calibri" w:hAnsi="calibri" w:eastAsia="calibri" w:cs="calibri"/>
          <w:sz w:val="24"/>
          <w:szCs w:val="24"/>
          <w:b/>
        </w:rPr>
        <w:t xml:space="preserve"> 54 firm</w:t>
      </w:r>
      <w:r>
        <w:rPr>
          <w:rFonts w:ascii="calibri" w:hAnsi="calibri" w:eastAsia="calibri" w:cs="calibri"/>
          <w:sz w:val="24"/>
          <w:szCs w:val="24"/>
        </w:rPr>
        <w:t xml:space="preserve"> ocenianych w sektorze sprzętu komunikacyjnego, </w:t>
      </w:r>
      <w:r>
        <w:rPr>
          <w:rFonts w:ascii="calibri" w:hAnsi="calibri" w:eastAsia="calibri" w:cs="calibri"/>
          <w:sz w:val="24"/>
          <w:szCs w:val="24"/>
          <w:b/>
        </w:rPr>
        <w:t xml:space="preserve">tylko 5 zostało wybranych do wyróżnienia, w tym Zyxel, Cisco i Ericsson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Włączenie Zyxel Group do S&amp;P Global Sustainability Yearbook jest najnowszym świadectwem jej wieloletniego zaangażowania w doskonałość ESG</w:t>
      </w:r>
      <w:r>
        <w:rPr>
          <w:rFonts w:ascii="calibri" w:hAnsi="calibri" w:eastAsia="calibri" w:cs="calibri"/>
          <w:sz w:val="24"/>
          <w:szCs w:val="24"/>
        </w:rPr>
        <w:t xml:space="preserve">. Uznanie to opiera się na serii </w:t>
      </w:r>
      <w:r>
        <w:rPr>
          <w:rFonts w:ascii="calibri" w:hAnsi="calibri" w:eastAsia="calibri" w:cs="calibri"/>
          <w:sz w:val="24"/>
          <w:szCs w:val="24"/>
          <w:b/>
        </w:rPr>
        <w:t xml:space="preserve">prestiżowych nagród i ratingów, które Zyxel otrzymał w 2024 r.</w:t>
      </w:r>
      <w:r>
        <w:rPr>
          <w:rFonts w:ascii="calibri" w:hAnsi="calibri" w:eastAsia="calibri" w:cs="calibri"/>
          <w:sz w:val="24"/>
          <w:szCs w:val="24"/>
        </w:rPr>
        <w:t xml:space="preserve">, w tym potrójne wyróżnienia od Taiwan Corporate Sustainability Awards (TCSA), uznanie za jedno ze 100 najlepszych przedsiębiorstw w zakresie konkurencyjności węglowej przez 3 kolejne lata, ocenę A od MSCI ESG Rating, ocenę na poziomie zarządzania B od Carbon Disclosure Project (CDP) oraz Srebrny Medal od EcoVadis. Osiągnięcia te podkreślają pozycję Zyxel Group wiodącą w zakresie zrównoważonego rozwoju i jej ciągłe wysiłki na rzecz wyznaczania standardów branżowych.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celów zrównoważonego rozwoju wymaga </w:t>
      </w:r>
      <w:r>
        <w:rPr>
          <w:rFonts w:ascii="calibri" w:hAnsi="calibri" w:eastAsia="calibri" w:cs="calibri"/>
          <w:sz w:val="24"/>
          <w:szCs w:val="24"/>
          <w:b/>
        </w:rPr>
        <w:t xml:space="preserve">wspólnych działań w różnych branżach i łańcuchach dostaw</w:t>
      </w:r>
      <w:r>
        <w:rPr>
          <w:rFonts w:ascii="calibri" w:hAnsi="calibri" w:eastAsia="calibri" w:cs="calibri"/>
          <w:sz w:val="24"/>
          <w:szCs w:val="24"/>
        </w:rPr>
        <w:t xml:space="preserve">. Zdając sobie z tego sprawę,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aktywnie przyczynia się do szerszego globalnego ruchu na rzecz zrównoważonego rozwoju, realizując ambitne cele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. Firma dąży do zmniejszenia emisji o 50% do 2030 r. i osiągnięcia zerowej emisji netto do 2050 r., zgodnie z inicjatywą Science Based Targets (SBTi).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dąży do zrównoważonego rozwoju w całym swoim łańcuchu dostaw poprzez inicjatywy takie jak "Zero Carbon Academy"</w:t>
      </w:r>
      <w:r>
        <w:rPr>
          <w:rFonts w:ascii="calibri" w:hAnsi="calibri" w:eastAsia="calibri" w:cs="calibri"/>
          <w:sz w:val="24"/>
          <w:szCs w:val="24"/>
        </w:rPr>
        <w:t xml:space="preserve">, która pomaga dostawcom poprawić zarządzanie emisjami dwutlenku węgla i opracowywać produkty niskoemisyjne.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Ciągłe włączanie Group do S&amp;P Global Sustainability Yearbook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jej wiodącą pozycję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pozostaje zaangażowana w zapewnianie znaczącego i trwałego wpływu na środowisko i społeczeństwo </w:t>
      </w:r>
      <w:r>
        <w:rPr>
          <w:rFonts w:ascii="calibri" w:hAnsi="calibri" w:eastAsia="calibri" w:cs="calibri"/>
          <w:sz w:val="24"/>
          <w:szCs w:val="24"/>
        </w:rPr>
        <w:t xml:space="preserve">poprzez inicjatywy, które przynoszą korzyści społecznościom na całym świecie i przyczyniają się do realizacji globalnych celów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esg/csa/yearbook/2025/ranking/ind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2025-11-04T14:10:41+01:00</dcterms:created>
  <dcterms:modified xsi:type="dcterms:W3CDTF">2025-11-04T14:10:41+01:00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