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prezentuje nową erę wysokowydajnych przełączników dla rozwijających się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światłowodowy przełącznik agregacyjny CX4800-56F 25G/100G został zaprojektowany, aby umożliwić średnim i korporacyjnym organizacjom oraz dostawcom usług skalowanie i rozwój ich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potrzeby eliminowania wąskich gardeł w średnich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48-portowy światłowodowy przełącznik agregacyjny 10G/25G L3 z ośmioma łączami 100G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najnowszym aplikacjom technologiom, które </w:t>
      </w:r>
      <w:r>
        <w:rPr>
          <w:rFonts w:ascii="calibri" w:hAnsi="calibri" w:eastAsia="calibri" w:cs="calibri"/>
          <w:sz w:val="24"/>
          <w:szCs w:val="24"/>
        </w:rPr>
        <w:t xml:space="preserve">zwiększają zapotrzebowanie na przepustowość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skalowalność, odporność i elastyczność</w:t>
      </w:r>
      <w:r>
        <w:rPr>
          <w:rFonts w:ascii="calibri" w:hAnsi="calibri" w:eastAsia="calibri" w:cs="calibri"/>
          <w:sz w:val="24"/>
          <w:szCs w:val="24"/>
        </w:rPr>
        <w:t xml:space="preserve">, których średnie firmy, przedsiębiorstwa i dostawcy usług potrzebują, aby wyeliminować wąskie gardła i zabezpieczyć swoje sieci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Pozwala firmom na skalowanie sieci bez konieczności dokonywania dodatkowych inwestycji i przebudowy infrastruktury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CX4800-56F</w:t>
      </w:r>
      <w:r>
        <w:rPr>
          <w:rFonts w:ascii="calibri" w:hAnsi="calibri" w:eastAsia="calibri" w:cs="calibri"/>
          <w:sz w:val="36"/>
          <w:szCs w:val="36"/>
          <w:b/>
        </w:rPr>
        <w:t xml:space="preserve"> zapewnia znaczny wzrost wydajności w porównaniu z tradycyjnymi przełącznikami 10G, dzięki </w:t>
      </w:r>
      <w:r>
        <w:rPr>
          <w:rFonts w:ascii="calibri" w:hAnsi="calibri" w:eastAsia="calibri" w:cs="calibri"/>
          <w:sz w:val="36"/>
          <w:szCs w:val="36"/>
          <w:b/>
        </w:rPr>
        <w:t xml:space="preserve">ośmiu portom uplink 100G QSFP28 i 48 portom dostępowym SFP28</w:t>
      </w:r>
      <w:r>
        <w:rPr>
          <w:rFonts w:ascii="calibri" w:hAnsi="calibri" w:eastAsia="calibri" w:cs="calibri"/>
          <w:sz w:val="36"/>
          <w:szCs w:val="36"/>
          <w:b/>
        </w:rPr>
        <w:t xml:space="preserve">, które mogą pracować z </w:t>
      </w:r>
      <w:r>
        <w:rPr>
          <w:rFonts w:ascii="calibri" w:hAnsi="calibri" w:eastAsia="calibri" w:cs="calibri"/>
          <w:sz w:val="36"/>
          <w:szCs w:val="36"/>
          <w:b/>
        </w:rPr>
        <w:t xml:space="preserve">prędkością 10G lub 25G</w:t>
      </w:r>
      <w:r>
        <w:rPr>
          <w:rFonts w:ascii="calibri" w:hAnsi="calibri" w:eastAsia="calibri" w:cs="calibri"/>
          <w:sz w:val="36"/>
          <w:szCs w:val="36"/>
          <w:b/>
        </w:rPr>
        <w:t xml:space="preserve">. Zapewniają</w:t>
      </w:r>
      <w:r>
        <w:rPr>
          <w:rFonts w:ascii="calibri" w:hAnsi="calibri" w:eastAsia="calibri" w:cs="calibri"/>
          <w:sz w:val="36"/>
          <w:szCs w:val="36"/>
          <w:b/>
        </w:rPr>
        <w:t xml:space="preserve"> wydajność przełączania do 4 terabitów na sekundę (4Tb/s)</w:t>
      </w:r>
      <w:r>
        <w:rPr>
          <w:rFonts w:ascii="calibri" w:hAnsi="calibri" w:eastAsia="calibri" w:cs="calibri"/>
          <w:sz w:val="36"/>
          <w:szCs w:val="36"/>
          <w:b/>
        </w:rPr>
        <w:t xml:space="preserve">. Dzięki tej skalowalności organizacje mogą z łatwością </w:t>
      </w:r>
      <w:r>
        <w:rPr>
          <w:rFonts w:ascii="calibri" w:hAnsi="calibri" w:eastAsia="calibri" w:cs="calibri"/>
          <w:sz w:val="36"/>
          <w:szCs w:val="36"/>
          <w:b/>
        </w:rPr>
        <w:t xml:space="preserve">rozbudowywać swoją sieć kampusową i efektywnie zarządzać dużymi obciążeniami danych bez konieczności przebudowy istniejących systemów</w:t>
      </w:r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CX4800-56F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 zaprojektowany tak, aby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prostać bieżącym wymaganiom dzisiejszego ruchu sieciowego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zaoferować przestrzeń potrzebną do przyszłych innowacji technologicznych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intensywnie przetwarzające dane, takie jak AI i 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wymagają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większej przepustowości i mniejszych opóźnień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odpowiedniej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równowadze między wydajnością, odpornością i skalowalnością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mogą korzystać z tych nowych technologii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obawy o przerost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Oznacza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oszczędność kosztów dzięki skróceniu przestojów i zwiększeniu wydajności operacyjnej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nieprzerwanej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rozwiązuje obawy związane z przestojami sieci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podwójnemu zasilaniu i czterem modułom wentylatorów</w:t>
      </w:r>
      <w:r>
        <w:rPr>
          <w:rFonts w:ascii="calibri" w:hAnsi="calibri" w:eastAsia="calibri" w:cs="calibri"/>
          <w:sz w:val="24"/>
          <w:szCs w:val="24"/>
        </w:rPr>
        <w:t xml:space="preserve">. Pozwala na </w:t>
      </w:r>
      <w:r>
        <w:rPr>
          <w:rFonts w:ascii="calibri" w:hAnsi="calibri" w:eastAsia="calibri" w:cs="calibri"/>
          <w:sz w:val="24"/>
          <w:szCs w:val="24"/>
        </w:rPr>
        <w:t xml:space="preserve">zwiększoną redundancję sieci i odporność na przerwy w zasilaniu lub ciepło</w:t>
      </w:r>
      <w:r>
        <w:rPr>
          <w:rFonts w:ascii="calibri" w:hAnsi="calibri" w:eastAsia="calibri" w:cs="calibri"/>
          <w:sz w:val="24"/>
          <w:szCs w:val="24"/>
        </w:rPr>
        <w:t xml:space="preserve">. Konstrukcja z możliwością wymiany podczas pracy </w:t>
      </w:r>
      <w:r>
        <w:rPr>
          <w:rFonts w:ascii="calibri" w:hAnsi="calibri" w:eastAsia="calibri" w:cs="calibri"/>
          <w:sz w:val="24"/>
          <w:szCs w:val="24"/>
        </w:rPr>
        <w:t xml:space="preserve">umożliwia łatwą wymianę modułów zasilania i wentylatorów</w:t>
      </w:r>
      <w:r>
        <w:rPr>
          <w:rFonts w:ascii="calibri" w:hAnsi="calibri" w:eastAsia="calibri" w:cs="calibri"/>
          <w:sz w:val="24"/>
          <w:szCs w:val="24"/>
        </w:rPr>
        <w:t xml:space="preserve">, bez konieczności wyłączania systemu, </w:t>
      </w:r>
      <w:r>
        <w:rPr>
          <w:rFonts w:ascii="calibri" w:hAnsi="calibri" w:eastAsia="calibri" w:cs="calibri"/>
          <w:sz w:val="24"/>
          <w:szCs w:val="24"/>
        </w:rPr>
        <w:t xml:space="preserve">zapewniając minimalny wpływ na działanie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Przyszłościowa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</w:t>
      </w:r>
      <w:r>
        <w:rPr>
          <w:rFonts w:ascii="calibri" w:hAnsi="calibri" w:eastAsia="calibri" w:cs="calibri"/>
          <w:sz w:val="24"/>
          <w:szCs w:val="24"/>
        </w:rPr>
        <w:t xml:space="preserve">o przyszłym rozwoju</w:t>
      </w:r>
      <w:r>
        <w:rPr>
          <w:rFonts w:ascii="calibri" w:hAnsi="calibri" w:eastAsia="calibri" w:cs="calibri"/>
          <w:sz w:val="24"/>
          <w:szCs w:val="24"/>
        </w:rPr>
        <w:t xml:space="preserve">, służąc zarówno jako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przełącznik agregacyjny,</w:t>
      </w:r>
      <w:r>
        <w:rPr>
          <w:rFonts w:ascii="calibri" w:hAnsi="calibri" w:eastAsia="calibri" w:cs="calibri"/>
          <w:sz w:val="24"/>
          <w:szCs w:val="24"/>
        </w:rPr>
        <w:t xml:space="preserve"> jak i </w:t>
      </w:r>
      <w:r>
        <w:rPr>
          <w:rFonts w:ascii="calibri" w:hAnsi="calibri" w:eastAsia="calibri" w:cs="calibri"/>
          <w:sz w:val="24"/>
          <w:szCs w:val="24"/>
          <w:b/>
        </w:rPr>
        <w:t xml:space="preserve">rdzeniowy z funkcjonalnością warstwy 2 (L2) i warstwy 3 (L3)</w:t>
      </w:r>
      <w:r>
        <w:rPr>
          <w:rFonts w:ascii="calibri" w:hAnsi="calibri" w:eastAsia="calibri" w:cs="calibri"/>
          <w:sz w:val="24"/>
          <w:szCs w:val="24"/>
        </w:rPr>
        <w:t xml:space="preserve"> oraz zaawansowanymi </w:t>
      </w:r>
      <w:r>
        <w:rPr>
          <w:rFonts w:ascii="calibri" w:hAnsi="calibri" w:eastAsia="calibri" w:cs="calibri"/>
          <w:sz w:val="24"/>
          <w:szCs w:val="24"/>
        </w:rPr>
        <w:t xml:space="preserve">funkcjami bezpieczeństwa</w:t>
      </w:r>
      <w:r>
        <w:rPr>
          <w:rFonts w:ascii="calibri" w:hAnsi="calibri" w:eastAsia="calibri" w:cs="calibri"/>
          <w:sz w:val="24"/>
          <w:szCs w:val="24"/>
        </w:rPr>
        <w:t xml:space="preserve">. Może być zarządzany lokalnie lub za pośrednictwem platformy chmurowej Nebula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firmy Zyxel Networks. Umożliwia to administratorom i dostawcom usług łączenie, ochronę i zarządzanie bezprzewodowymi punktami dostępowymi, zaporami ogniowymi i przełącznikami za pośrednictwem </w:t>
      </w:r>
      <w:r>
        <w:rPr>
          <w:rFonts w:ascii="calibri" w:hAnsi="calibri" w:eastAsia="calibri" w:cs="calibri"/>
          <w:sz w:val="24"/>
          <w:szCs w:val="24"/>
        </w:rPr>
        <w:t xml:space="preserve">jednej zintegrowanej platformy zarządzania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trybie sieciowym AV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zapewnia łatwe do wdrożenia </w:t>
      </w:r>
      <w:r>
        <w:rPr>
          <w:rFonts w:ascii="calibri" w:hAnsi="calibri" w:eastAsia="calibri" w:cs="calibri"/>
          <w:sz w:val="24"/>
          <w:szCs w:val="24"/>
        </w:rPr>
        <w:t xml:space="preserve">rozwiązanie dla aplikacji audiowizualnych przez IP (AVoIP)</w:t>
      </w:r>
      <w:r>
        <w:rPr>
          <w:rFonts w:ascii="calibri" w:hAnsi="calibri" w:eastAsia="calibri" w:cs="calibri"/>
          <w:sz w:val="24"/>
          <w:szCs w:val="24"/>
        </w:rPr>
        <w:t xml:space="preserve">. Intuicyjny kreator konfiguracji i dedykowany pulpit AV dają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wydajność sieci</w:t>
      </w:r>
      <w:r>
        <w:rPr>
          <w:rFonts w:ascii="calibri" w:hAnsi="calibri" w:eastAsia="calibri" w:cs="calibri"/>
          <w:sz w:val="24"/>
          <w:szCs w:val="24"/>
        </w:rPr>
        <w:t xml:space="preserve">, co ma kluczowe znaczenie w branżach takich jak </w:t>
      </w:r>
      <w:r>
        <w:rPr>
          <w:rFonts w:ascii="calibri" w:hAnsi="calibri" w:eastAsia="calibri" w:cs="calibri"/>
          <w:sz w:val="24"/>
          <w:szCs w:val="24"/>
        </w:rPr>
        <w:t xml:space="preserve">opieka zdrowotna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</w:rPr>
        <w:t xml:space="preserve">pełną gamę przełączników sieciowych</w:t>
      </w:r>
      <w:r>
        <w:rPr>
          <w:rFonts w:ascii="calibri" w:hAnsi="calibri" w:eastAsia="calibri" w:cs="calibri"/>
          <w:sz w:val="24"/>
          <w:szCs w:val="24"/>
        </w:rPr>
        <w:t xml:space="preserve">, od </w:t>
      </w:r>
      <w:r>
        <w:rPr>
          <w:rFonts w:ascii="calibri" w:hAnsi="calibri" w:eastAsia="calibri" w:cs="calibri"/>
          <w:sz w:val="24"/>
          <w:szCs w:val="24"/>
        </w:rPr>
        <w:t xml:space="preserve">modeli stacjonarnych</w:t>
      </w:r>
      <w:r>
        <w:rPr>
          <w:rFonts w:ascii="calibri" w:hAnsi="calibri" w:eastAsia="calibri" w:cs="calibri"/>
          <w:sz w:val="24"/>
          <w:szCs w:val="24"/>
        </w:rPr>
        <w:t xml:space="preserve"> po </w:t>
      </w:r>
      <w:r>
        <w:rPr>
          <w:rFonts w:ascii="calibri" w:hAnsi="calibri" w:eastAsia="calibri" w:cs="calibri"/>
          <w:sz w:val="24"/>
          <w:szCs w:val="24"/>
        </w:rPr>
        <w:t xml:space="preserve">rozwiązania stelażowe</w:t>
      </w:r>
      <w:r>
        <w:rPr>
          <w:rFonts w:ascii="calibri" w:hAnsi="calibri" w:eastAsia="calibri" w:cs="calibri"/>
          <w:sz w:val="24"/>
          <w:szCs w:val="24"/>
        </w:rPr>
        <w:t xml:space="preserve">, przeznaczone dla </w:t>
      </w:r>
      <w:r>
        <w:rPr>
          <w:rFonts w:ascii="calibri" w:hAnsi="calibri" w:eastAsia="calibri" w:cs="calibri"/>
          <w:sz w:val="24"/>
          <w:szCs w:val="24"/>
        </w:rPr>
        <w:t xml:space="preserve">firm każdej wielkości</w:t>
      </w:r>
      <w:r>
        <w:rPr>
          <w:rFonts w:ascii="calibri" w:hAnsi="calibri" w:eastAsia="calibri" w:cs="calibri"/>
          <w:sz w:val="24"/>
          <w:szCs w:val="24"/>
        </w:rPr>
        <w:t xml:space="preserve">. Dzięki opcjom </w:t>
      </w:r>
      <w:r>
        <w:rPr>
          <w:rFonts w:ascii="calibri" w:hAnsi="calibri" w:eastAsia="calibri" w:cs="calibri"/>
          <w:sz w:val="24"/>
          <w:szCs w:val="24"/>
        </w:rPr>
        <w:t xml:space="preserve">zarządzania lokalnego i w chmurze </w:t>
      </w:r>
      <w:r>
        <w:rPr>
          <w:rFonts w:ascii="calibri" w:hAnsi="calibri" w:eastAsia="calibri" w:cs="calibri"/>
          <w:sz w:val="24"/>
          <w:szCs w:val="24"/>
        </w:rPr>
        <w:t xml:space="preserve">organizacje mogą budować </w:t>
      </w:r>
      <w:r>
        <w:rPr>
          <w:rFonts w:ascii="calibri" w:hAnsi="calibri" w:eastAsia="calibri" w:cs="calibri"/>
          <w:sz w:val="24"/>
          <w:szCs w:val="24"/>
        </w:rPr>
        <w:t xml:space="preserve">solidne i skalowalne sieci</w:t>
      </w:r>
      <w:r>
        <w:rPr>
          <w:rFonts w:ascii="calibri" w:hAnsi="calibri" w:eastAsia="calibri" w:cs="calibri"/>
          <w:sz w:val="24"/>
          <w:szCs w:val="24"/>
        </w:rPr>
        <w:t xml:space="preserve">, które wspierają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Przełącznik CX4800-56F jest już dostępny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switch/48-port-10g-25g-l3-aggregation-fiber-switch-with-8-100g-uplinks-cx4800-56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2026-05-19T00:24:02+02:00</dcterms:created>
  <dcterms:modified xsi:type="dcterms:W3CDTF">2026-05-19T00:24:02+02:00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